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  <w:lang w:eastAsia="zh-CN"/>
        </w:rPr>
      </w:pPr>
      <w:r>
        <w:rPr>
          <w:rFonts w:ascii="黑体" w:eastAsia="黑体" w:cs="黑体" w:hint="eastAsia"/>
          <w:b w:val="0"/>
          <w:bCs w:val="0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0"/>
        <w:jc w:val="center"/>
        <w:textAlignment w:val="auto"/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  <w:lang w:eastAsia="zh-CN"/>
        </w:rPr>
        <w:t>文水县细颗粒物攻坚</w:t>
      </w:r>
      <w:r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  <w:t>任务</w:t>
      </w:r>
      <w:r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  <w:lang w:eastAsia="zh-CN"/>
        </w:rPr>
        <w:t>措施</w:t>
      </w:r>
      <w:r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  <w:t>表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966"/>
        <w:gridCol w:w="1218"/>
        <w:gridCol w:w="4923"/>
      </w:tblGrid>
      <w:tr>
        <w:trPr>
          <w:trHeight w:val="1541"/>
        </w:trPr>
        <w:tc>
          <w:tcPr>
            <w:tcW w:w="74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类别</w:t>
            </w:r>
          </w:p>
        </w:tc>
        <w:tc>
          <w:tcPr>
            <w:tcW w:w="2016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000" w:lineRule="exact"/>
              <w:jc w:val="center"/>
              <w:textAlignment w:val="auto"/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攻坚任务</w:t>
            </w:r>
          </w:p>
        </w:tc>
        <w:tc>
          <w:tcPr>
            <w:tcW w:w="124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完成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时限</w:t>
            </w:r>
          </w:p>
        </w:tc>
        <w:tc>
          <w:tcPr>
            <w:tcW w:w="504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000" w:lineRule="exact"/>
              <w:jc w:val="center"/>
              <w:textAlignment w:val="auto"/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工作措施</w:t>
            </w:r>
          </w:p>
        </w:tc>
      </w:tr>
      <w:tr>
        <w:trPr>
          <w:trHeight w:val="2045"/>
        </w:trPr>
        <w:tc>
          <w:tcPr>
            <w:tcW w:w="74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工业企业污染整治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严格生态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楷体_GB2312" w:eastAsia="楷体_GB2312" w:cs="楷体_GB2312" w:hint="eastAsia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环境准入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长期坚持</w:t>
            </w:r>
          </w:p>
        </w:tc>
        <w:tc>
          <w:tcPr>
            <w:tcW w:w="50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新改扩建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39个重点行业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项目应达到环保绩效A级或绩效引领性水平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，遏制两高项目盲目发展。</w:t>
            </w:r>
          </w:p>
        </w:tc>
      </w:tr>
      <w:tr>
        <w:trPr>
          <w:trHeight w:val="2120"/>
        </w:trPr>
        <w:tc>
          <w:tcPr>
            <w:tcW w:w="747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0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开展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“创A升B”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楷体_GB2312" w:eastAsia="楷体_GB2312" w:cs="楷体_GB2312" w:hint="eastAsia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行动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2024年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12月底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前</w:t>
            </w:r>
          </w:p>
        </w:tc>
        <w:tc>
          <w:tcPr>
            <w:tcW w:w="50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县城建成区及工业园区内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重点行业企业要力争全部达到B级及以上或引领性环保绩效等级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。</w:t>
            </w:r>
          </w:p>
        </w:tc>
      </w:tr>
      <w:tr>
        <w:trPr>
          <w:trHeight w:val="2075"/>
        </w:trPr>
        <w:tc>
          <w:tcPr>
            <w:tcW w:w="747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016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202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4年12月底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前</w:t>
            </w:r>
          </w:p>
        </w:tc>
        <w:tc>
          <w:tcPr>
            <w:tcW w:w="50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6户烧结砖瓦企业达到B级及以上环保绩效等级，达不到的实施停产整治。</w:t>
            </w:r>
          </w:p>
        </w:tc>
      </w:tr>
      <w:tr>
        <w:trPr>
          <w:trHeight w:val="1585"/>
        </w:trPr>
        <w:tc>
          <w:tcPr>
            <w:tcW w:w="747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016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2025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年12月底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前</w:t>
            </w:r>
          </w:p>
        </w:tc>
        <w:tc>
          <w:tcPr>
            <w:tcW w:w="50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辖区内80%以上重点行业企业达到B级及以上或引领性环保绩效等级。</w:t>
            </w:r>
          </w:p>
        </w:tc>
      </w:tr>
      <w:tr>
        <w:trPr>
          <w:trHeight w:val="1215"/>
        </w:trPr>
        <w:tc>
          <w:tcPr>
            <w:tcW w:w="747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楷体_GB2312" w:eastAsia="楷体_GB2312" w:cs="楷体_GB2312" w:hint="eastAsia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提升焦化水泥行业超低排放水平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50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山西金鹏绿色能源发展有限公司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、山西国金电力有限公司（水泥项目）、山西吉港水泥有限公司按照超低排放水平提升。</w:t>
            </w:r>
          </w:p>
        </w:tc>
      </w:tr>
      <w:tr>
        <w:trPr>
          <w:trHeight w:val="2130"/>
        </w:trPr>
        <w:tc>
          <w:tcPr>
            <w:tcW w:w="747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工业炉窑清洁能源替代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2025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年12月底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前</w:t>
            </w:r>
          </w:p>
        </w:tc>
        <w:tc>
          <w:tcPr>
            <w:tcW w:w="50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山西乾聚德保温材料有限公司等5户工业炉窑完成清洁能源替代。</w:t>
            </w:r>
          </w:p>
        </w:tc>
      </w:tr>
      <w:tr>
        <w:trPr>
          <w:trHeight w:val="1865"/>
        </w:trPr>
        <w:tc>
          <w:tcPr>
            <w:tcW w:w="747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传统产业集群绿色发展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2025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年12月底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前</w:t>
            </w:r>
          </w:p>
        </w:tc>
        <w:tc>
          <w:tcPr>
            <w:tcW w:w="50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实施铸造、模板特色产业集群升级改造。</w:t>
            </w:r>
          </w:p>
        </w:tc>
      </w:tr>
      <w:tr>
        <w:trPr>
          <w:trHeight w:val="1730"/>
        </w:trPr>
        <w:tc>
          <w:tcPr>
            <w:tcW w:w="747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0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强化VOCs综合治理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2025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年6月底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前</w:t>
            </w:r>
          </w:p>
        </w:tc>
        <w:tc>
          <w:tcPr>
            <w:tcW w:w="50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42户加油站完成三次油气回收治理。</w:t>
            </w:r>
          </w:p>
        </w:tc>
      </w:tr>
      <w:tr>
        <w:trPr>
          <w:trHeight w:val="1715"/>
        </w:trPr>
        <w:tc>
          <w:tcPr>
            <w:tcW w:w="747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016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2025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年5月底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前</w:t>
            </w:r>
          </w:p>
        </w:tc>
        <w:tc>
          <w:tcPr>
            <w:tcW w:w="50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模板企业完成挥发性有机物治理设施升级改造。</w:t>
            </w:r>
          </w:p>
        </w:tc>
      </w:tr>
      <w:tr>
        <w:trPr>
          <w:trHeight w:val="1805"/>
        </w:trPr>
        <w:tc>
          <w:tcPr>
            <w:tcW w:w="74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能源结构调整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控制煤炭消费总量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2025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年12月底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前</w:t>
            </w:r>
          </w:p>
        </w:tc>
        <w:tc>
          <w:tcPr>
            <w:tcW w:w="50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2025年煤炭消费量实现负增长</w:t>
            </w:r>
          </w:p>
        </w:tc>
      </w:tr>
      <w:tr>
        <w:trPr>
          <w:trHeight w:val="1700"/>
        </w:trPr>
        <w:tc>
          <w:tcPr>
            <w:tcW w:w="747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扩大清洁取暖成果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2025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年10月底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前</w:t>
            </w:r>
          </w:p>
        </w:tc>
        <w:tc>
          <w:tcPr>
            <w:tcW w:w="50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25.83 万㎡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县城周边部分清洁取暖盲区、新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建建筑实现集中供热。</w:t>
            </w:r>
          </w:p>
        </w:tc>
      </w:tr>
      <w:tr>
        <w:trPr>
          <w:trHeight w:val="1685"/>
        </w:trPr>
        <w:tc>
          <w:tcPr>
            <w:tcW w:w="747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燃煤锅炉关停整合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2025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年6月底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前</w:t>
            </w:r>
          </w:p>
        </w:tc>
        <w:tc>
          <w:tcPr>
            <w:tcW w:w="50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推进文水县振兴化肥有限公司2台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35蒸吨/小时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燃煤锅炉清洁能源替代。</w:t>
            </w:r>
          </w:p>
        </w:tc>
      </w:tr>
      <w:tr>
        <w:trPr>
          <w:trHeight w:val="1790"/>
        </w:trPr>
        <w:tc>
          <w:tcPr>
            <w:tcW w:w="74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ascii="楷体_GB2312" w:eastAsia="楷体_GB2312" w:cs="楷体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移动源污染整治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重点区域汽车尾气管控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长期坚持</w:t>
            </w:r>
          </w:p>
        </w:tc>
        <w:tc>
          <w:tcPr>
            <w:tcW w:w="50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以空气质量监测站行点周边学校为重点，引导上下学高峰时段车辆通行。</w:t>
            </w:r>
          </w:p>
        </w:tc>
      </w:tr>
      <w:tr>
        <w:trPr>
          <w:trHeight w:val="2260"/>
        </w:trPr>
        <w:tc>
          <w:tcPr>
            <w:tcW w:w="747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加快机动车结构升级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2025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年12月底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前</w:t>
            </w:r>
          </w:p>
        </w:tc>
        <w:tc>
          <w:tcPr>
            <w:tcW w:w="50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园区内钢铁、焦化、水泥、火电企业采用清洁能源或新能源运输比例力争达到80%。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公共领域车辆基本实现使用新能源及清洁能源车辆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。</w:t>
            </w:r>
          </w:p>
        </w:tc>
      </w:tr>
      <w:tr>
        <w:trPr>
          <w:trHeight w:val="1805"/>
        </w:trPr>
        <w:tc>
          <w:tcPr>
            <w:tcW w:w="747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重型货车路检路查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长期坚持</w:t>
            </w:r>
          </w:p>
        </w:tc>
        <w:tc>
          <w:tcPr>
            <w:tcW w:w="50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生态环境、公安交管、交通运输等部门常态化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开展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路检路查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联合执法。</w:t>
            </w:r>
          </w:p>
        </w:tc>
      </w:tr>
      <w:tr>
        <w:trPr>
          <w:trHeight w:val="2400"/>
        </w:trPr>
        <w:tc>
          <w:tcPr>
            <w:tcW w:w="747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非道路移动源综合治理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2025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年12月底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前</w:t>
            </w:r>
          </w:p>
        </w:tc>
        <w:tc>
          <w:tcPr>
            <w:tcW w:w="50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2025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年12月底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前基本消除非道路移动机械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“冒黑烟”现象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，基本淘汰第一阶段及以下排放标准的非道路移动机械。</w:t>
            </w:r>
          </w:p>
        </w:tc>
      </w:tr>
      <w:tr>
        <w:trPr>
          <w:trHeight w:val="3708"/>
        </w:trPr>
        <w:tc>
          <w:tcPr>
            <w:tcW w:w="7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ascii="楷体_GB2312" w:eastAsia="楷体_GB2312" w:cs="楷体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面源污染整治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多污染源协同管控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长期坚持</w:t>
            </w:r>
          </w:p>
        </w:tc>
        <w:tc>
          <w:tcPr>
            <w:tcW w:w="50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实施园区综合治理、建筑工地扬尘污染管控、城区及周边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道路扬尘污染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治理、城区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裸露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地面整治、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秸秆禁烧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管控、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bidi="ar-SA"/>
                <w:highlight w:val="auto"/>
              </w:rPr>
              <w:t>餐饮油烟整治</w:t>
            </w: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  <w:highlight w:val="auto"/>
              </w:rPr>
              <w:t>、散乱污企业动态清零。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center" w:pos="4153"/>
          <w:tab w:val="right" w:pos="830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jc w:val="left"/>
        <w:textAlignment w:val="auto"/>
        <w:rPr>
          <w:rFonts w:ascii="Arial" w:eastAsia="Arial" w:cs="Arial" w:hAnsi="Arial"/>
          <w:color w:val="000000"/>
          <w:kern w:val="0"/>
          <w:sz w:val="18"/>
          <w:szCs w:val="21"/>
          <w:lang w:val="en-US" w:eastAsia="zh-CN" w:bidi="ar-SA"/>
        </w:rPr>
      </w:pPr>
    </w:p>
    <w:p>
      <w:bookmarkStart w:id="0" w:name="_GoBack"/>
      <w:bookmarkEnd w:id="0"/>
    </w:p>
    <w:sectPr>
      <w:footerReference w:type="default" r:id="rId2"/>
      <w:pgSz w:w="11906" w:h="16838"/>
      <w:pgMar w:top="2098" w:right="1474" w:bottom="1984" w:left="1587" w:header="851" w:footer="992" w:gutter="0"/>
      <w:pgNumType/>
      <w:docGrid w:type="lines" w:linePitch="49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兰亭黑_GBK"/>
    <w:panose1 w:val="02010600030101010101"/>
    <w:charset w:val="86"/>
    <w:family w:val="script"/>
    <w:pitch w:val="variable"/>
    <w:sig w:usb0="00000003" w:usb1="080E0000" w:usb2="00000000" w:usb3="00000000" w:csb0="00040001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tabs>
        <w:tab w:val="clear" w:pos="4153"/>
        <w:tab w:val="clear" w:pos="8306"/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4881" cy="268580"/>
              <wp:effectExtent l="0" t="0" r="0" b="0"/>
              <wp:wrapNone/>
              <wp:docPr id="1" name="文本框 28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44881" cy="268580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33"/>
                            <w:tabs>
                              <w:tab w:val="clear" w:pos="4153"/>
                              <w:tab w:val="clear" w:pos="8306"/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28 3" o:spid="_x0000_s3" filled="f" stroked="f" style="position:absolute;margin-left:-0.0035705022pt;margin-top:0.0pt;width:50.778034pt;height:21.148085pt;z-index:12;mso-position-horizontal:outside;mso-position-horizontal-relative:margin;mso-position-vertical:absolute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33"/>
                      <w:tabs>
                        <w:tab w:val="clear" w:pos="4153"/>
                        <w:tab w:val="clear" w:pos="8306"/>
                        <w:tab w:val="center" w:pos="4153"/>
                        <w:tab w:val="right" w:pos="8306"/>
                      </w:tabs>
                      <w:rPr>
                        <w:rFonts w:ascii="宋体" w:eastAsia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displayBackgroundShape/>
  <w:bordersDoNotSurroundHeader/>
  <w:bordersDoNotSurroundFooter/>
  <w:defaultTabStop w:val="420"/>
  <w:drawingGridHorizontalSpacing w:val="180"/>
  <w:drawingGridVerticalSpacing w:val="244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仿宋_GB2312" w:cs="仿宋_GB2312" w:hAnsi="Calibri"/>
      <w:kern w:val="2"/>
      <w:sz w:val="36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33">
    <w:name w:val="footer"/>
    <w:basedOn w:val="0"/>
    <w:next w:val="2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Times New Roman" w:hAnsi="Calibr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4</Pages>
  <Words>863</Words>
  <Characters>930</Characters>
  <Lines>162</Lines>
  <Paragraphs>61</Paragraphs>
  <CharactersWithSpaces>931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greatwall</dc:creator>
  <cp:lastModifiedBy>greatwall</cp:lastModifiedBy>
  <cp:revision>1</cp:revision>
  <dcterms:created xsi:type="dcterms:W3CDTF">2025-01-02T09:34:48Z</dcterms:created>
  <dcterms:modified xsi:type="dcterms:W3CDTF">2025-01-02T09:35:13Z</dcterms:modified>
</cp:coreProperties>
</file>