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0"/>
        <w:rPr>
          <w:rFonts w:cs="Times New Roman"/>
        </w:rPr>
      </w:pPr>
    </w:p>
    <w:p>
      <w:pPr>
        <w:pStyle w:val="3"/>
        <w:ind w:firstLine="0" w:firstLineChars="0"/>
        <w:jc w:val="center"/>
        <w:rPr>
          <w:rFonts w:cs="Times New Roman"/>
        </w:rPr>
      </w:pPr>
    </w:p>
    <w:p>
      <w:pPr>
        <w:pStyle w:val="2"/>
        <w:ind w:firstLine="0" w:firstLineChars="0"/>
        <w:jc w:val="center"/>
        <w:rPr>
          <w:rFonts w:eastAsia="方正小标宋简体" w:cs="Times New Roman"/>
          <w:sz w:val="48"/>
          <w:szCs w:val="48"/>
        </w:rPr>
      </w:pPr>
      <w:r>
        <w:rPr>
          <w:rFonts w:eastAsia="方正小标宋简体" w:cs="Times New Roman"/>
          <w:sz w:val="48"/>
          <w:szCs w:val="48"/>
        </w:rPr>
        <w:t>高水平建设新时代美丽文水规划纲要</w:t>
      </w:r>
    </w:p>
    <w:p>
      <w:pPr>
        <w:pStyle w:val="2"/>
        <w:ind w:firstLine="0" w:firstLineChars="0"/>
        <w:jc w:val="center"/>
        <w:rPr>
          <w:rFonts w:eastAsia="方正小标宋简体" w:cs="Times New Roman"/>
          <w:sz w:val="48"/>
          <w:szCs w:val="48"/>
        </w:rPr>
      </w:pPr>
      <w:r>
        <w:rPr>
          <w:rFonts w:eastAsia="方正小标宋简体" w:cs="Times New Roman"/>
          <w:sz w:val="48"/>
          <w:szCs w:val="48"/>
        </w:rPr>
        <w:t>（2024—2035年）</w:t>
      </w:r>
    </w:p>
    <w:p>
      <w:pPr>
        <w:pStyle w:val="2"/>
        <w:ind w:firstLine="0" w:firstLineChars="0"/>
        <w:jc w:val="center"/>
        <w:rPr>
          <w:rFonts w:eastAsia="方正小标宋简体" w:cs="Times New Roman"/>
          <w:sz w:val="48"/>
          <w:szCs w:val="48"/>
        </w:rPr>
      </w:pPr>
    </w:p>
    <w:p>
      <w:pPr>
        <w:pStyle w:val="2"/>
        <w:spacing w:line="240" w:lineRule="auto"/>
        <w:ind w:firstLine="0" w:firstLineChars="0"/>
        <w:jc w:val="center"/>
        <w:rPr>
          <w:rFonts w:eastAsia="方正小标宋简体" w:cs="Times New Roman"/>
          <w:sz w:val="48"/>
          <w:szCs w:val="48"/>
        </w:rPr>
      </w:pPr>
      <w:r>
        <w:rPr>
          <w:rFonts w:eastAsia="方正小标宋简体" w:cs="Times New Roman"/>
          <w:sz w:val="48"/>
          <w:szCs w:val="48"/>
        </w:rPr>
        <w:drawing>
          <wp:inline distT="0" distB="0" distL="0" distR="0">
            <wp:extent cx="5274310" cy="2967355"/>
            <wp:effectExtent l="0" t="0" r="2540" b="4445"/>
            <wp:docPr id="18" name="图片 18" descr="C:\Users\chang\Documents\WeChat Files\wxid_rd47i45v1yx721\FileStorage\Temp\62818f7b19e36e0842105ffbe1475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chang\Documents\WeChat Files\wxid_rd47i45v1yx721\FileStorage\Temp\62818f7b19e36e0842105ffbe14758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274310" cy="2967355"/>
                    </a:xfrm>
                    <a:prstGeom prst="rect">
                      <a:avLst/>
                    </a:prstGeom>
                    <a:ln>
                      <a:noFill/>
                    </a:ln>
                    <a:effectLst>
                      <a:softEdge rad="112500"/>
                    </a:effectLst>
                  </pic:spPr>
                </pic:pic>
              </a:graphicData>
            </a:graphic>
          </wp:inline>
        </w:drawing>
      </w:r>
    </w:p>
    <w:p>
      <w:pPr>
        <w:pStyle w:val="2"/>
        <w:ind w:firstLine="0" w:firstLineChars="0"/>
        <w:jc w:val="center"/>
        <w:rPr>
          <w:rFonts w:cs="Times New Roman"/>
        </w:rPr>
      </w:pPr>
    </w:p>
    <w:p>
      <w:pPr>
        <w:pStyle w:val="3"/>
        <w:adjustRightInd w:val="0"/>
        <w:snapToGrid w:val="0"/>
        <w:ind w:firstLine="0" w:firstLineChars="0"/>
        <w:jc w:val="center"/>
        <w:rPr>
          <w:rFonts w:eastAsia="黑体" w:cs="Times New Roman"/>
          <w:sz w:val="36"/>
          <w:szCs w:val="32"/>
        </w:rPr>
      </w:pPr>
      <w:r>
        <w:rPr>
          <w:rFonts w:eastAsia="黑体" w:cs="Times New Roman"/>
          <w:sz w:val="36"/>
          <w:szCs w:val="32"/>
        </w:rPr>
        <w:t>文水县人民政府</w:t>
      </w:r>
    </w:p>
    <w:p>
      <w:pPr>
        <w:pStyle w:val="3"/>
        <w:adjustRightInd w:val="0"/>
        <w:snapToGrid w:val="0"/>
        <w:ind w:firstLine="0" w:firstLineChars="0"/>
        <w:jc w:val="center"/>
        <w:rPr>
          <w:rFonts w:eastAsia="黑体" w:cs="Times New Roman"/>
          <w:sz w:val="36"/>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425" w:num="1"/>
          <w:docGrid w:type="lines" w:linePitch="312" w:charSpace="0"/>
        </w:sectPr>
      </w:pPr>
      <w:r>
        <w:rPr>
          <w:rFonts w:eastAsia="黑体" w:cs="Times New Roman"/>
          <w:sz w:val="36"/>
          <w:szCs w:val="32"/>
        </w:rPr>
        <w:t>2024年12</w:t>
      </w:r>
      <w:r>
        <w:rPr>
          <w:rFonts w:hint="eastAsia" w:eastAsia="黑体" w:cs="Times New Roman"/>
          <w:sz w:val="36"/>
          <w:szCs w:val="32"/>
        </w:rPr>
        <w:t>月</w:t>
      </w:r>
      <w:r>
        <w:rPr>
          <w:rFonts w:eastAsia="黑体" w:cs="Times New Roman"/>
          <w:sz w:val="36"/>
          <w:szCs w:val="32"/>
        </w:rPr>
        <w:br w:type="page"/>
      </w:r>
    </w:p>
    <w:p>
      <w:pPr>
        <w:pStyle w:val="3"/>
        <w:ind w:firstLine="0" w:firstLineChars="0"/>
        <w:jc w:val="center"/>
        <w:rPr>
          <w:rFonts w:eastAsia="方正小标宋简体" w:cs="Times New Roman"/>
          <w:bCs/>
          <w:sz w:val="40"/>
          <w:szCs w:val="40"/>
        </w:rPr>
      </w:pPr>
      <w:bookmarkStart w:id="0" w:name="_Toc176903410"/>
      <w:bookmarkStart w:id="1" w:name="_Toc144"/>
      <w:bookmarkStart w:id="2" w:name="_Toc176974226"/>
      <w:bookmarkStart w:id="3" w:name="_Toc27860"/>
      <w:bookmarkStart w:id="4" w:name="_Toc17675"/>
      <w:bookmarkStart w:id="5" w:name="_Toc27529"/>
      <w:bookmarkStart w:id="6" w:name="_Toc175926135"/>
      <w:bookmarkStart w:id="7" w:name="_Toc62831621"/>
      <w:bookmarkStart w:id="8" w:name="_Toc29190"/>
      <w:bookmarkStart w:id="9" w:name="_Toc32340"/>
      <w:bookmarkStart w:id="10" w:name="_Toc14526"/>
      <w:bookmarkStart w:id="11" w:name="_Toc31927_WPSOffice_Level1"/>
      <w:r>
        <w:rPr>
          <w:rFonts w:hint="eastAsia" w:eastAsia="方正小标宋简体" w:cs="Times New Roman"/>
          <w:bCs/>
          <w:sz w:val="40"/>
          <w:szCs w:val="40"/>
        </w:rPr>
        <w:t>前</w:t>
      </w:r>
      <w:r>
        <w:rPr>
          <w:rFonts w:eastAsia="方正小标宋简体" w:cs="Times New Roman"/>
          <w:bCs/>
          <w:sz w:val="40"/>
          <w:szCs w:val="40"/>
        </w:rPr>
        <w:t xml:space="preserve">  </w:t>
      </w:r>
      <w:r>
        <w:rPr>
          <w:rFonts w:hint="eastAsia" w:eastAsia="方正小标宋简体" w:cs="Times New Roman"/>
          <w:bCs/>
          <w:sz w:val="40"/>
          <w:szCs w:val="40"/>
        </w:rPr>
        <w:t>言</w:t>
      </w:r>
      <w:bookmarkEnd w:id="0"/>
      <w:bookmarkEnd w:id="1"/>
      <w:bookmarkEnd w:id="2"/>
      <w:bookmarkEnd w:id="3"/>
      <w:bookmarkEnd w:id="4"/>
      <w:bookmarkEnd w:id="5"/>
      <w:bookmarkEnd w:id="6"/>
    </w:p>
    <w:p>
      <w:pPr>
        <w:widowControl/>
        <w:spacing w:line="240" w:lineRule="auto"/>
        <w:ind w:firstLine="640"/>
        <w:rPr>
          <w:rFonts w:cs="Times New Roman"/>
        </w:rPr>
      </w:pPr>
      <w:r>
        <w:rPr>
          <w:rFonts w:hint="eastAsia" w:cs="Times New Roman"/>
        </w:rPr>
        <w:t>建设美丽中国是全面建设社会主义现代化国家的重要目标，是实现中华民族伟大复兴中国梦的重要内容</w:t>
      </w:r>
      <w:r>
        <w:rPr>
          <w:rFonts w:hint="eastAsia" w:cs="Times New Roman"/>
          <w:lang w:eastAsia="zh-CN"/>
        </w:rPr>
        <w:t>，是</w:t>
      </w:r>
      <w:r>
        <w:rPr>
          <w:rFonts w:hint="eastAsia" w:cs="Times New Roman"/>
          <w:lang w:val="en-US" w:eastAsia="zh-CN"/>
        </w:rPr>
        <w:t>满足人民日益增长美好生活需要的必然要求</w:t>
      </w:r>
      <w:r>
        <w:rPr>
          <w:rFonts w:hint="eastAsia" w:cs="Times New Roman"/>
        </w:rPr>
        <w:t>。党的二十大擘画了全面建设社会主义现代化国家的宏伟蓝图，建设美丽中国是其中的重要目标</w:t>
      </w:r>
      <w:r>
        <w:rPr>
          <w:rFonts w:hint="eastAsia" w:cs="Times New Roman"/>
          <w:lang w:val="en-US" w:eastAsia="zh-CN"/>
        </w:rPr>
        <w:t>之一</w:t>
      </w:r>
      <w:r>
        <w:rPr>
          <w:rFonts w:hint="eastAsia" w:cs="Times New Roman"/>
        </w:rPr>
        <w:t>。</w:t>
      </w:r>
      <w:r>
        <w:rPr>
          <w:rFonts w:cs="Times New Roman"/>
        </w:rPr>
        <w:t>202</w:t>
      </w:r>
      <w:r>
        <w:rPr>
          <w:rFonts w:hint="eastAsia" w:cs="Times New Roman"/>
          <w:lang w:val="en-US" w:eastAsia="zh-CN"/>
        </w:rPr>
        <w:t>3</w:t>
      </w:r>
      <w:r>
        <w:rPr>
          <w:rFonts w:hint="eastAsia" w:cs="Times New Roman"/>
        </w:rPr>
        <w:t>年</w:t>
      </w:r>
      <w:r>
        <w:rPr>
          <w:rFonts w:cs="Times New Roman"/>
        </w:rPr>
        <w:t>1</w:t>
      </w:r>
      <w:r>
        <w:rPr>
          <w:rFonts w:hint="eastAsia" w:cs="Times New Roman"/>
          <w:lang w:val="en-US" w:eastAsia="zh-CN"/>
        </w:rPr>
        <w:t>2</w:t>
      </w:r>
      <w:r>
        <w:rPr>
          <w:rFonts w:hint="eastAsia" w:cs="Times New Roman"/>
        </w:rPr>
        <w:t>月，《中共中央</w:t>
      </w:r>
      <w:r>
        <w:rPr>
          <w:rFonts w:cs="Times New Roman"/>
        </w:rPr>
        <w:t xml:space="preserve"> </w:t>
      </w:r>
      <w:r>
        <w:rPr>
          <w:rFonts w:hint="eastAsia" w:cs="Times New Roman"/>
        </w:rPr>
        <w:t>国务院关于全面推进美丽中国建设的意见》对全面推进美丽中国建设工作作出系统部署，明确了总体要求、重点任务和重大举措。党的二十届三中全会</w:t>
      </w:r>
      <w:r>
        <w:rPr>
          <w:rFonts w:hint="eastAsia" w:cs="Times New Roman"/>
          <w:lang w:val="en-US" w:eastAsia="zh-CN"/>
        </w:rPr>
        <w:t>审议通过</w:t>
      </w:r>
      <w:r>
        <w:rPr>
          <w:rFonts w:hint="eastAsia" w:cs="Times New Roman"/>
        </w:rPr>
        <w:t>的《中共中央关于进一步全面深化改革、推进中国式现代化的决定》将聚焦建设美丽中国、促进人与自然和谐共生作为进一步全面深化改革总目标的重要方面。</w:t>
      </w:r>
      <w:r>
        <w:rPr>
          <w:rFonts w:hint="eastAsia" w:cs="Times New Roman"/>
          <w:lang w:val="en-US" w:eastAsia="zh-CN"/>
        </w:rPr>
        <w:t>新征程上，</w:t>
      </w:r>
      <w:r>
        <w:rPr>
          <w:rFonts w:hint="eastAsia" w:cs="Times New Roman"/>
        </w:rPr>
        <w:t>必须以更高站位、更宽视野、更大力度来谋划和推进生态环境保护工作，谱写新时代生态文明建设新篇章</w:t>
      </w:r>
      <w:r>
        <w:rPr>
          <w:rFonts w:hint="eastAsia" w:cs="Times New Roman"/>
          <w:lang w:val="en-US" w:eastAsia="zh-CN"/>
        </w:rPr>
        <w:t>。</w:t>
      </w:r>
    </w:p>
    <w:p>
      <w:pPr>
        <w:widowControl/>
        <w:spacing w:line="240" w:lineRule="auto"/>
        <w:ind w:firstLine="640"/>
        <w:rPr>
          <w:rFonts w:cs="Times New Roman"/>
        </w:rPr>
      </w:pPr>
      <w:r>
        <w:rPr>
          <w:rFonts w:hint="eastAsia" w:cs="Times New Roman"/>
        </w:rPr>
        <w:t>习近平总书记</w:t>
      </w:r>
      <w:r>
        <w:rPr>
          <w:rFonts w:hint="eastAsia" w:cs="Times New Roman"/>
          <w:lang w:val="en-US" w:eastAsia="zh-CN"/>
        </w:rPr>
        <w:t>先后</w:t>
      </w:r>
      <w:r>
        <w:rPr>
          <w:rFonts w:hint="eastAsia" w:cs="Times New Roman"/>
        </w:rPr>
        <w:t>四次到山西考察，</w:t>
      </w:r>
      <w:r>
        <w:rPr>
          <w:rFonts w:hint="eastAsia" w:cs="Times New Roman"/>
          <w:lang w:val="en-US" w:eastAsia="zh-CN"/>
        </w:rPr>
        <w:t>均对山西省生态文明建设和生态环境保护</w:t>
      </w:r>
      <w:r>
        <w:rPr>
          <w:rFonts w:hint="eastAsia" w:cs="Times New Roman"/>
        </w:rPr>
        <w:t>作出重要指示、提出明确要求，为全面推进美丽山西建设提供了根本遵循。</w:t>
      </w:r>
      <w:r>
        <w:rPr>
          <w:rFonts w:cs="Times New Roman"/>
        </w:rPr>
        <w:t>2022</w:t>
      </w:r>
      <w:r>
        <w:rPr>
          <w:rFonts w:hint="eastAsia" w:cs="Times New Roman"/>
        </w:rPr>
        <w:t>年，山西省委十二届五次全会提出</w:t>
      </w:r>
      <w:r>
        <w:rPr>
          <w:rFonts w:hint="eastAsia" w:cs="Times New Roman"/>
          <w:lang w:eastAsia="zh-CN"/>
        </w:rPr>
        <w:t>，</w:t>
      </w:r>
      <w:r>
        <w:rPr>
          <w:rFonts w:hint="eastAsia" w:cs="Times New Roman"/>
          <w:lang w:val="en-US" w:eastAsia="zh-CN"/>
        </w:rPr>
        <w:t>要</w:t>
      </w:r>
      <w:r>
        <w:rPr>
          <w:rFonts w:hint="eastAsia" w:cs="Times New Roman"/>
        </w:rPr>
        <w:t>在建设美丽山西上拿出更大力度。</w:t>
      </w:r>
      <w:r>
        <w:rPr>
          <w:rFonts w:hint="eastAsia" w:cs="Times New Roman"/>
          <w:lang w:val="en-US" w:eastAsia="zh-CN"/>
        </w:rPr>
        <w:t>先后</w:t>
      </w:r>
      <w:r>
        <w:rPr>
          <w:rFonts w:hint="eastAsia" w:cs="Times New Roman"/>
        </w:rPr>
        <w:t>印发《美丽山西建设规划纲要（</w:t>
      </w:r>
      <w:r>
        <w:rPr>
          <w:rFonts w:cs="Times New Roman"/>
        </w:rPr>
        <w:t>2023—2035</w:t>
      </w:r>
      <w:r>
        <w:rPr>
          <w:rFonts w:hint="eastAsia" w:cs="Times New Roman"/>
        </w:rPr>
        <w:t>年）》《关于全面推进美丽山西建设的实施意见》</w:t>
      </w:r>
      <w:r>
        <w:rPr>
          <w:rFonts w:hint="eastAsia" w:cs="Times New Roman"/>
          <w:lang w:val="en-US" w:eastAsia="zh-CN"/>
        </w:rPr>
        <w:t>等政策文件</w:t>
      </w:r>
      <w:r>
        <w:rPr>
          <w:rFonts w:hint="eastAsia" w:cs="Times New Roman"/>
        </w:rPr>
        <w:t>，明确</w:t>
      </w:r>
      <w:r>
        <w:rPr>
          <w:rFonts w:hint="eastAsia" w:cs="Times New Roman"/>
          <w:lang w:eastAsia="zh-CN"/>
        </w:rPr>
        <w:t>了“</w:t>
      </w:r>
      <w:r>
        <w:rPr>
          <w:rFonts w:hint="eastAsia" w:cs="Times New Roman"/>
        </w:rPr>
        <w:t>深化资源型经济转型发展，纵深推进能源革命综合改革试点，扎实推动黄河流域生态保护和高质量发展重要实验区建设，协同推进降碳、减污、扩绿、增长，努力建设人与自然和谐共生的美丽山西</w:t>
      </w:r>
      <w:r>
        <w:rPr>
          <w:rFonts w:hint="eastAsia" w:cs="Times New Roman"/>
          <w:lang w:eastAsia="zh-CN"/>
        </w:rPr>
        <w:t>”的</w:t>
      </w:r>
      <w:r>
        <w:rPr>
          <w:rFonts w:hint="eastAsia" w:cs="Times New Roman"/>
          <w:lang w:val="en-US" w:eastAsia="zh-CN"/>
        </w:rPr>
        <w:t>总体要求，</w:t>
      </w:r>
      <w:r>
        <w:rPr>
          <w:rFonts w:hint="eastAsia" w:cs="Times New Roman"/>
        </w:rPr>
        <w:t>对美丽山西建设的主要目标、重大任务和推进机制进行了系统部署</w:t>
      </w:r>
      <w:r>
        <w:rPr>
          <w:rFonts w:hint="eastAsia" w:cs="Times New Roman"/>
          <w:lang w:eastAsia="zh-CN"/>
        </w:rPr>
        <w:t>，</w:t>
      </w:r>
      <w:r>
        <w:rPr>
          <w:rFonts w:hint="eastAsia" w:cs="Times New Roman"/>
          <w:lang w:val="en-US" w:eastAsia="zh-CN"/>
        </w:rPr>
        <w:t>也为高水平建设新时代美丽文水指明了前进方向</w:t>
      </w:r>
      <w:r>
        <w:rPr>
          <w:rFonts w:hint="eastAsia" w:cs="Times New Roman"/>
        </w:rPr>
        <w:t>。</w:t>
      </w:r>
    </w:p>
    <w:p>
      <w:pPr>
        <w:widowControl/>
        <w:ind w:firstLine="640"/>
        <w:rPr>
          <w:rFonts w:hint="eastAsia" w:eastAsia="仿宋_GB2312" w:cs="Times New Roman"/>
          <w:lang w:val="en-US" w:eastAsia="zh-CN"/>
        </w:rPr>
      </w:pPr>
      <w:r>
        <w:rPr>
          <w:rFonts w:hint="eastAsia" w:cs="Times New Roman"/>
          <w:lang w:val="en-US" w:eastAsia="zh-CN"/>
        </w:rPr>
        <w:t>文水县</w:t>
      </w:r>
      <w:r>
        <w:rPr>
          <w:rFonts w:hint="eastAsia" w:cs="Times New Roman"/>
        </w:rPr>
        <w:t>地处山西省中部，位于太原、晋中、吕梁三市的</w:t>
      </w:r>
      <w:r>
        <w:rPr>
          <w:rFonts w:hint="eastAsia" w:cs="Times New Roman"/>
          <w:lang w:eastAsia="zh-CN"/>
        </w:rPr>
        <w:t>“</w:t>
      </w:r>
      <w:r>
        <w:rPr>
          <w:rFonts w:hint="eastAsia" w:cs="Times New Roman"/>
        </w:rPr>
        <w:t>黄金交会点</w:t>
      </w:r>
      <w:r>
        <w:rPr>
          <w:rFonts w:hint="eastAsia" w:cs="Times New Roman"/>
          <w:lang w:eastAsia="zh-CN"/>
        </w:rPr>
        <w:t>”，是</w:t>
      </w:r>
      <w:r>
        <w:rPr>
          <w:rFonts w:hint="eastAsia" w:cs="Times New Roman"/>
        </w:rPr>
        <w:t>三晋</w:t>
      </w:r>
      <w:r>
        <w:rPr>
          <w:rFonts w:hint="eastAsia" w:cs="Times New Roman"/>
          <w:lang w:eastAsia="zh-CN"/>
        </w:rPr>
        <w:t>“</w:t>
      </w:r>
      <w:r>
        <w:rPr>
          <w:rFonts w:hint="eastAsia" w:cs="Times New Roman"/>
        </w:rPr>
        <w:t>通衢之地</w:t>
      </w:r>
      <w:r>
        <w:rPr>
          <w:rFonts w:hint="eastAsia" w:cs="Times New Roman"/>
          <w:lang w:eastAsia="zh-CN"/>
        </w:rPr>
        <w:t>”，</w:t>
      </w:r>
      <w:r>
        <w:rPr>
          <w:rFonts w:hint="eastAsia" w:cs="Times New Roman"/>
          <w:lang w:val="en-US" w:eastAsia="zh-CN"/>
        </w:rPr>
        <w:t>也</w:t>
      </w:r>
      <w:r>
        <w:rPr>
          <w:rFonts w:hint="eastAsia" w:cs="Times New Roman"/>
        </w:rPr>
        <w:t>是革命女英雄刘胡兰的家乡、一代女皇武则天的故里。</w:t>
      </w:r>
      <w:r>
        <w:rPr>
          <w:rFonts w:hint="eastAsia" w:cs="Times New Roman"/>
          <w:lang w:val="en-US" w:eastAsia="zh-CN"/>
        </w:rPr>
        <w:t>文水</w:t>
      </w:r>
      <w:r>
        <w:rPr>
          <w:rFonts w:hint="eastAsia" w:cs="Times New Roman"/>
        </w:rPr>
        <w:t>境内</w:t>
      </w:r>
      <w:r>
        <w:rPr>
          <w:rFonts w:hint="eastAsia" w:cs="Times New Roman"/>
          <w:lang w:val="en-US" w:eastAsia="zh-CN"/>
        </w:rPr>
        <w:t>煤炭、</w:t>
      </w:r>
      <w:r>
        <w:rPr>
          <w:rFonts w:hint="eastAsia" w:cs="Times New Roman"/>
        </w:rPr>
        <w:t>石灰石</w:t>
      </w:r>
      <w:r>
        <w:rPr>
          <w:rFonts w:hint="eastAsia" w:cs="Times New Roman"/>
          <w:lang w:val="en-US" w:eastAsia="zh-CN"/>
        </w:rPr>
        <w:t>等资源</w:t>
      </w:r>
      <w:r>
        <w:rPr>
          <w:rFonts w:hint="eastAsia" w:cs="Times New Roman"/>
        </w:rPr>
        <w:t>较为丰富，汾河、文峪河、磁窑河3条河流纵贯南北</w:t>
      </w:r>
      <w:r>
        <w:rPr>
          <w:rFonts w:hint="eastAsia" w:cs="Times New Roman"/>
          <w:lang w:val="en-US" w:eastAsia="zh-CN"/>
        </w:rPr>
        <w:t>，</w:t>
      </w:r>
      <w:r>
        <w:rPr>
          <w:rFonts w:hint="eastAsia" w:cs="Times New Roman"/>
        </w:rPr>
        <w:t>东部一马平川，西部山峦叠嶂，</w:t>
      </w:r>
      <w:r>
        <w:rPr>
          <w:rFonts w:hint="eastAsia" w:cs="Times New Roman"/>
          <w:lang w:val="en-US" w:eastAsia="zh-CN"/>
        </w:rPr>
        <w:t>构成一幅</w:t>
      </w:r>
      <w:r>
        <w:rPr>
          <w:rFonts w:hint="eastAsia" w:cs="Times New Roman"/>
          <w:lang w:eastAsia="zh-CN"/>
        </w:rPr>
        <w:t>“</w:t>
      </w:r>
      <w:r>
        <w:rPr>
          <w:rFonts w:hint="eastAsia" w:cs="Times New Roman"/>
        </w:rPr>
        <w:t>半壁山丘半壁川</w:t>
      </w:r>
      <w:r>
        <w:rPr>
          <w:rFonts w:hint="eastAsia" w:cs="Times New Roman"/>
          <w:lang w:eastAsia="zh-CN"/>
        </w:rPr>
        <w:t>”的</w:t>
      </w:r>
      <w:r>
        <w:rPr>
          <w:rFonts w:hint="eastAsia" w:cs="Times New Roman"/>
          <w:lang w:val="en-US" w:eastAsia="zh-CN"/>
        </w:rPr>
        <w:t>景象</w:t>
      </w:r>
      <w:r>
        <w:rPr>
          <w:rFonts w:hint="eastAsia" w:cs="Times New Roman"/>
          <w:lang w:eastAsia="zh-CN"/>
        </w:rPr>
        <w:t>。</w:t>
      </w:r>
      <w:r>
        <w:rPr>
          <w:rFonts w:hint="eastAsia" w:cs="Times New Roman"/>
          <w:lang w:val="en-US" w:eastAsia="zh-CN"/>
        </w:rPr>
        <w:t>文水是</w:t>
      </w:r>
      <w:r>
        <w:rPr>
          <w:rFonts w:hint="eastAsia" w:cs="Times New Roman"/>
        </w:rPr>
        <w:t>国家级商品粮基地县、全省现代农业示范县</w:t>
      </w:r>
      <w:r>
        <w:rPr>
          <w:rFonts w:hint="eastAsia" w:cs="Times New Roman"/>
          <w:lang w:eastAsia="zh-CN"/>
        </w:rPr>
        <w:t>，</w:t>
      </w:r>
      <w:r>
        <w:rPr>
          <w:rFonts w:hint="eastAsia" w:cs="Times New Roman"/>
          <w:lang w:val="en-US" w:eastAsia="zh-CN"/>
        </w:rPr>
        <w:t>拥有</w:t>
      </w:r>
      <w:r>
        <w:rPr>
          <w:rFonts w:hint="eastAsia" w:cs="Times New Roman"/>
        </w:rPr>
        <w:t>省级经济开发区1个</w:t>
      </w:r>
      <w:r>
        <w:rPr>
          <w:rFonts w:hint="eastAsia" w:cs="Times New Roman"/>
          <w:lang w:eastAsia="zh-CN"/>
        </w:rPr>
        <w:t>。</w:t>
      </w:r>
      <w:r>
        <w:rPr>
          <w:rFonts w:hint="eastAsia" w:cs="Times New Roman"/>
          <w:lang w:val="en-US" w:eastAsia="zh-CN"/>
        </w:rPr>
        <w:t>近年来，文水县深入践行习近平生态文明思想，</w:t>
      </w:r>
      <w:r>
        <w:rPr>
          <w:rFonts w:hint="eastAsia" w:cs="Times New Roman"/>
        </w:rPr>
        <w:t>凝心聚力强优势、补短板、提效能、防风险，</w:t>
      </w:r>
      <w:r>
        <w:rPr>
          <w:rFonts w:hint="eastAsia" w:cs="Times New Roman"/>
          <w:lang w:val="en-US" w:eastAsia="zh-CN"/>
        </w:rPr>
        <w:t>高质量发展扎实</w:t>
      </w:r>
      <w:r>
        <w:rPr>
          <w:rFonts w:hint="eastAsia" w:cs="Times New Roman"/>
        </w:rPr>
        <w:t>推进，</w:t>
      </w:r>
      <w:r>
        <w:rPr>
          <w:rFonts w:hint="eastAsia" w:cs="Times New Roman"/>
          <w:lang w:val="en-US" w:eastAsia="zh-CN"/>
        </w:rPr>
        <w:t>美丽</w:t>
      </w:r>
      <w:r>
        <w:rPr>
          <w:rFonts w:hint="eastAsia" w:cs="Times New Roman"/>
        </w:rPr>
        <w:t>文水</w:t>
      </w:r>
      <w:r>
        <w:rPr>
          <w:rFonts w:hint="eastAsia" w:cs="Times New Roman"/>
          <w:lang w:val="en-US" w:eastAsia="zh-CN"/>
        </w:rPr>
        <w:t>建设</w:t>
      </w:r>
      <w:r>
        <w:rPr>
          <w:rFonts w:hint="eastAsia" w:cs="Times New Roman"/>
        </w:rPr>
        <w:t>迈出</w:t>
      </w:r>
      <w:r>
        <w:rPr>
          <w:rFonts w:hint="eastAsia" w:cs="Times New Roman"/>
          <w:lang w:val="en-US" w:eastAsia="zh-CN"/>
        </w:rPr>
        <w:t>新</w:t>
      </w:r>
      <w:r>
        <w:rPr>
          <w:rFonts w:hint="eastAsia" w:cs="Times New Roman"/>
        </w:rPr>
        <w:t>步伐。</w:t>
      </w:r>
    </w:p>
    <w:p>
      <w:pPr>
        <w:widowControl/>
        <w:adjustRightInd/>
        <w:snapToGrid/>
        <w:spacing w:line="240" w:lineRule="auto"/>
        <w:ind w:firstLine="640"/>
        <w:rPr>
          <w:rFonts w:cs="Times New Roman"/>
        </w:rPr>
      </w:pPr>
      <w:r>
        <w:rPr>
          <w:rFonts w:hint="eastAsia" w:cs="Times New Roman"/>
        </w:rPr>
        <w:t>为以更高站位、更宽视野、更大力度来谋划和推进新征程生态文明建设工作，为建设美丽山西贡献文水力量、彰显文水担当、体现文水作为，</w:t>
      </w:r>
      <w:r>
        <w:rPr>
          <w:rFonts w:hint="eastAsia" w:cs="Times New Roman"/>
          <w:lang w:val="en-US" w:eastAsia="zh-CN"/>
        </w:rPr>
        <w:t>文水县人民政府组织编制本规划。本次规划范围为文水县全域，</w:t>
      </w:r>
      <w:r>
        <w:rPr>
          <w:rFonts w:hint="eastAsia" w:cs="Times New Roman"/>
        </w:rPr>
        <w:t>面积1068.57平方公里</w:t>
      </w:r>
      <w:r>
        <w:rPr>
          <w:rFonts w:hint="eastAsia" w:cs="Times New Roman"/>
          <w:lang w:eastAsia="zh-CN"/>
        </w:rPr>
        <w:t>，</w:t>
      </w:r>
      <w:r>
        <w:rPr>
          <w:rFonts w:hint="eastAsia" w:cs="Times New Roman"/>
          <w:lang w:val="en-US" w:eastAsia="zh-CN"/>
        </w:rPr>
        <w:t>下</w:t>
      </w:r>
      <w:r>
        <w:rPr>
          <w:rFonts w:hint="eastAsia" w:cs="Times New Roman"/>
        </w:rPr>
        <w:t>辖7镇5乡</w:t>
      </w:r>
      <w:r>
        <w:rPr>
          <w:rFonts w:hint="eastAsia" w:cs="Times New Roman"/>
          <w:lang w:eastAsia="zh-CN"/>
        </w:rPr>
        <w:t>。</w:t>
      </w:r>
      <w:r>
        <w:rPr>
          <w:rFonts w:hint="eastAsia" w:cs="Times New Roman"/>
          <w:lang w:val="en-US" w:eastAsia="zh-CN"/>
        </w:rPr>
        <w:t>规划基准年为2023年，规划期限为2024—2035年。本规划将作为文水县</w:t>
      </w:r>
      <w:r>
        <w:rPr>
          <w:rFonts w:hint="eastAsia" w:cs="Times New Roman"/>
        </w:rPr>
        <w:t>以高品质生态环境支撑高质量发展，</w:t>
      </w:r>
      <w:r>
        <w:rPr>
          <w:rFonts w:hint="eastAsia" w:cs="Times New Roman"/>
          <w:lang w:val="en-US" w:eastAsia="zh-CN"/>
        </w:rPr>
        <w:t>推动实现人与自然和谐共生的现代化的指导性和纲领性文件，</w:t>
      </w:r>
      <w:r>
        <w:rPr>
          <w:rFonts w:hint="eastAsia" w:cs="Times New Roman"/>
        </w:rPr>
        <w:t>是指导当前和今后一个时期美丽文水建设的行动指南。</w:t>
      </w:r>
    </w:p>
    <w:p>
      <w:pPr>
        <w:adjustRightInd w:val="0"/>
        <w:snapToGrid w:val="0"/>
        <w:spacing w:line="580" w:lineRule="exact"/>
        <w:ind w:firstLine="640"/>
        <w:rPr>
          <w:rFonts w:cs="Times New Roman"/>
        </w:rPr>
        <w:sectPr>
          <w:footerReference r:id="rId11" w:type="default"/>
          <w:type w:val="continuous"/>
          <w:pgSz w:w="11906" w:h="16838"/>
          <w:pgMar w:top="1440" w:right="1800" w:bottom="1440" w:left="1800" w:header="851" w:footer="992" w:gutter="0"/>
          <w:pgNumType w:fmt="decimal" w:start="1"/>
          <w:cols w:space="425" w:num="1"/>
          <w:docGrid w:type="lines" w:linePitch="312" w:charSpace="0"/>
        </w:sectPr>
      </w:pPr>
      <w:r>
        <w:rPr>
          <w:rFonts w:cs="Times New Roman"/>
        </w:rPr>
        <w:br w:type="page"/>
      </w:r>
    </w:p>
    <w:sdt>
      <w:sdtPr>
        <w:rPr>
          <w:rFonts w:eastAsia="方正小标宋简体" w:cs="Times New Roman"/>
          <w:bCs/>
          <w:color w:val="000000" w:themeColor="text1"/>
          <w:lang w:val="zh-CN"/>
          <w14:textFill>
            <w14:solidFill>
              <w14:schemeClr w14:val="tx1"/>
            </w14:solidFill>
          </w14:textFill>
        </w:rPr>
        <w:id w:val="132991945"/>
        <w:docPartObj>
          <w:docPartGallery w:val="Table of Contents"/>
          <w:docPartUnique/>
        </w:docPartObj>
      </w:sdtPr>
      <w:sdtEndPr>
        <w:rPr>
          <w:rFonts w:eastAsia="方正小标宋简体" w:cs="Times New Roman"/>
          <w:bCs w:val="0"/>
          <w:color w:val="000000" w:themeColor="text1"/>
          <w:lang w:val="zh-CN"/>
          <w14:textFill>
            <w14:solidFill>
              <w14:schemeClr w14:val="tx1"/>
            </w14:solidFill>
          </w14:textFill>
        </w:rPr>
      </w:sdtEndPr>
      <w:sdtContent>
        <w:p>
          <w:pPr>
            <w:pStyle w:val="21"/>
            <w:spacing w:before="156"/>
            <w:ind w:firstLine="640"/>
            <w:jc w:val="center"/>
            <w:rPr>
              <w:rFonts w:eastAsia="方正小标宋简体" w:cs="Times New Roman"/>
              <w:color w:val="000000" w:themeColor="text1"/>
              <w:szCs w:val="32"/>
              <w:lang w:val="zh-CN"/>
              <w14:textFill>
                <w14:solidFill>
                  <w14:schemeClr w14:val="tx1"/>
                </w14:solidFill>
              </w14:textFill>
            </w:rPr>
          </w:pPr>
          <w:r>
            <w:rPr>
              <w:rFonts w:hint="eastAsia" w:eastAsia="方正小标宋简体" w:cs="Times New Roman"/>
              <w:color w:val="000000" w:themeColor="text1"/>
              <w:szCs w:val="32"/>
              <w:lang w:val="zh-CN"/>
              <w14:textFill>
                <w14:solidFill>
                  <w14:schemeClr w14:val="tx1"/>
                </w14:solidFill>
              </w14:textFill>
            </w:rPr>
            <w:t>目</w:t>
          </w:r>
          <w:r>
            <w:rPr>
              <w:rFonts w:eastAsia="方正小标宋简体" w:cs="Times New Roman"/>
              <w:color w:val="000000" w:themeColor="text1"/>
              <w:szCs w:val="32"/>
              <w:lang w:val="zh-CN"/>
              <w14:textFill>
                <w14:solidFill>
                  <w14:schemeClr w14:val="tx1"/>
                </w14:solidFill>
              </w14:textFill>
            </w:rPr>
            <w:t xml:space="preserve"> </w:t>
          </w:r>
          <w:r>
            <w:rPr>
              <w:rFonts w:hint="eastAsia" w:eastAsia="方正小标宋简体" w:cs="Times New Roman"/>
              <w:color w:val="000000" w:themeColor="text1"/>
              <w:szCs w:val="32"/>
              <w:lang w:val="zh-CN"/>
              <w14:textFill>
                <w14:solidFill>
                  <w14:schemeClr w14:val="tx1"/>
                </w14:solidFill>
              </w14:textFill>
            </w:rPr>
            <w:t>录</w:t>
          </w:r>
        </w:p>
        <w:p>
          <w:pPr>
            <w:pStyle w:val="21"/>
            <w:tabs>
              <w:tab w:val="right" w:leader="dot" w:pos="8306"/>
              <w:tab w:val="clear" w:pos="8296"/>
            </w:tabs>
          </w:pPr>
          <w:r>
            <w:rPr>
              <w:rFonts w:cs="Times New Roman"/>
              <w:lang w:val="zh-CN"/>
            </w:rPr>
            <w:fldChar w:fldCharType="begin"/>
          </w:r>
          <w:r>
            <w:rPr>
              <w:rFonts w:cs="Times New Roman"/>
              <w:lang w:val="zh-CN"/>
            </w:rPr>
            <w:instrText xml:space="preserve"> TOC \o "1-3" \h \z \u </w:instrText>
          </w:r>
          <w:r>
            <w:rPr>
              <w:rFonts w:cs="Times New Roman"/>
              <w:lang w:val="zh-CN"/>
            </w:rPr>
            <w:fldChar w:fldCharType="separate"/>
          </w:r>
          <w:r>
            <w:rPr>
              <w:rFonts w:cs="Times New Roman"/>
              <w:lang w:val="zh-CN"/>
            </w:rPr>
            <w:fldChar w:fldCharType="begin"/>
          </w:r>
          <w:r>
            <w:rPr>
              <w:rFonts w:cs="Times New Roman"/>
              <w:lang w:val="zh-CN"/>
            </w:rPr>
            <w:instrText xml:space="preserve"> HYPERLINK \l _Toc2426 </w:instrText>
          </w:r>
          <w:r>
            <w:rPr>
              <w:rFonts w:cs="Times New Roman"/>
              <w:lang w:val="zh-CN"/>
            </w:rPr>
            <w:fldChar w:fldCharType="separate"/>
          </w:r>
          <w:r>
            <w:rPr>
              <w:rFonts w:hint="eastAsia" w:cs="Times New Roman"/>
              <w:bCs/>
              <w:szCs w:val="36"/>
            </w:rPr>
            <w:t>一、</w:t>
          </w:r>
          <w:r>
            <w:rPr>
              <w:rFonts w:cs="Times New Roman"/>
              <w:lang w:val="zh-CN"/>
            </w:rPr>
            <w:fldChar w:fldCharType="end"/>
          </w:r>
          <w:r>
            <w:rPr>
              <w:rFonts w:cs="Times New Roman"/>
              <w:lang w:val="zh-CN"/>
            </w:rPr>
            <w:fldChar w:fldCharType="begin"/>
          </w:r>
          <w:r>
            <w:rPr>
              <w:rFonts w:cs="Times New Roman"/>
              <w:lang w:val="zh-CN"/>
            </w:rPr>
            <w:instrText xml:space="preserve"> HYPERLINK \l _Toc13457 </w:instrText>
          </w:r>
          <w:r>
            <w:rPr>
              <w:rFonts w:cs="Times New Roman"/>
              <w:lang w:val="zh-CN"/>
            </w:rPr>
            <w:fldChar w:fldCharType="separate"/>
          </w:r>
          <w:r>
            <w:rPr>
              <w:rFonts w:hint="eastAsia" w:cs="Times New Roman"/>
            </w:rPr>
            <w:t>总体要求</w:t>
          </w:r>
          <w:r>
            <w:tab/>
          </w:r>
          <w:r>
            <w:fldChar w:fldCharType="begin"/>
          </w:r>
          <w:r>
            <w:instrText xml:space="preserve"> PAGEREF _Toc13457 \h </w:instrText>
          </w:r>
          <w:r>
            <w:fldChar w:fldCharType="separate"/>
          </w:r>
          <w:r>
            <w:t>- 1 -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_Toc5574 </w:instrText>
          </w:r>
          <w:r>
            <w:rPr>
              <w:rFonts w:cs="Times New Roman"/>
              <w:lang w:val="zh-CN"/>
            </w:rPr>
            <w:fldChar w:fldCharType="separate"/>
          </w:r>
          <w:r>
            <w:rPr>
              <w:rFonts w:hint="eastAsia" w:cs="Times New Roman"/>
            </w:rPr>
            <w:t>（一）指导思想</w:t>
          </w:r>
          <w:r>
            <w:tab/>
          </w:r>
          <w:r>
            <w:fldChar w:fldCharType="begin"/>
          </w:r>
          <w:r>
            <w:instrText xml:space="preserve"> PAGEREF _Toc5574 \h </w:instrText>
          </w:r>
          <w:r>
            <w:fldChar w:fldCharType="separate"/>
          </w:r>
          <w:r>
            <w:t>- 1 -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_Toc22316 </w:instrText>
          </w:r>
          <w:r>
            <w:rPr>
              <w:rFonts w:cs="Times New Roman"/>
              <w:lang w:val="zh-CN"/>
            </w:rPr>
            <w:fldChar w:fldCharType="separate"/>
          </w:r>
          <w:r>
            <w:rPr>
              <w:rFonts w:cs="Times New Roman"/>
            </w:rPr>
            <w:t>（二）规划原则</w:t>
          </w:r>
          <w:r>
            <w:tab/>
          </w:r>
          <w:r>
            <w:fldChar w:fldCharType="begin"/>
          </w:r>
          <w:r>
            <w:instrText xml:space="preserve"> PAGEREF _Toc22316 \h </w:instrText>
          </w:r>
          <w:r>
            <w:fldChar w:fldCharType="separate"/>
          </w:r>
          <w:r>
            <w:t>- 1 -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_Toc32407 </w:instrText>
          </w:r>
          <w:r>
            <w:rPr>
              <w:rFonts w:cs="Times New Roman"/>
              <w:lang w:val="zh-CN"/>
            </w:rPr>
            <w:fldChar w:fldCharType="separate"/>
          </w:r>
          <w:r>
            <w:rPr>
              <w:rFonts w:cs="Times New Roman"/>
            </w:rPr>
            <w:t>（三）战略定位</w:t>
          </w:r>
          <w:r>
            <w:tab/>
          </w:r>
          <w:r>
            <w:fldChar w:fldCharType="begin"/>
          </w:r>
          <w:r>
            <w:instrText xml:space="preserve"> PAGEREF _Toc32407 \h </w:instrText>
          </w:r>
          <w:r>
            <w:fldChar w:fldCharType="separate"/>
          </w:r>
          <w:r>
            <w:t>- 2 -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_Toc13684 </w:instrText>
          </w:r>
          <w:r>
            <w:rPr>
              <w:rFonts w:cs="Times New Roman"/>
              <w:lang w:val="zh-CN"/>
            </w:rPr>
            <w:fldChar w:fldCharType="separate"/>
          </w:r>
          <w:r>
            <w:rPr>
              <w:rFonts w:hint="eastAsia" w:cs="Times New Roman"/>
            </w:rPr>
            <w:t>（四）美丽愿景</w:t>
          </w:r>
          <w:r>
            <w:tab/>
          </w:r>
          <w:r>
            <w:fldChar w:fldCharType="begin"/>
          </w:r>
          <w:r>
            <w:instrText xml:space="preserve"> PAGEREF _Toc13684 \h </w:instrText>
          </w:r>
          <w:r>
            <w:fldChar w:fldCharType="separate"/>
          </w:r>
          <w:r>
            <w:t>- 3 -</w:t>
          </w:r>
          <w:r>
            <w:fldChar w:fldCharType="end"/>
          </w:r>
          <w:r>
            <w:rPr>
              <w:rFonts w:cs="Times New Roman"/>
              <w:lang w:val="zh-CN"/>
            </w:rPr>
            <w:fldChar w:fldCharType="end"/>
          </w:r>
        </w:p>
        <w:p>
          <w:pPr>
            <w:pStyle w:val="21"/>
            <w:tabs>
              <w:tab w:val="right" w:leader="dot" w:pos="8306"/>
              <w:tab w:val="clear" w:pos="8296"/>
            </w:tabs>
          </w:pPr>
          <w:r>
            <w:rPr>
              <w:rFonts w:cs="Times New Roman"/>
              <w:lang w:val="zh-CN"/>
            </w:rPr>
            <w:fldChar w:fldCharType="begin"/>
          </w:r>
          <w:r>
            <w:rPr>
              <w:rFonts w:cs="Times New Roman"/>
              <w:lang w:val="zh-CN"/>
            </w:rPr>
            <w:instrText xml:space="preserve"> HYPERLINK \l _Toc31155 </w:instrText>
          </w:r>
          <w:r>
            <w:rPr>
              <w:rFonts w:cs="Times New Roman"/>
              <w:lang w:val="zh-CN"/>
            </w:rPr>
            <w:fldChar w:fldCharType="separate"/>
          </w:r>
          <w:r>
            <w:rPr>
              <w:rFonts w:hint="eastAsia" w:cs="Times New Roman"/>
              <w:lang w:val="en-US" w:eastAsia="zh-CN"/>
            </w:rPr>
            <w:t>二</w:t>
          </w:r>
          <w:r>
            <w:rPr>
              <w:rFonts w:hint="eastAsia" w:cs="Times New Roman"/>
            </w:rPr>
            <w:t>、加快发展方式绿色转型，壮大</w:t>
          </w:r>
          <w:r>
            <w:rPr>
              <w:rFonts w:hint="eastAsia" w:cs="Times New Roman"/>
              <w:lang w:eastAsia="zh-CN"/>
            </w:rPr>
            <w:t>“</w:t>
          </w:r>
          <w:r>
            <w:rPr>
              <w:rFonts w:hint="eastAsia" w:cs="Times New Roman"/>
            </w:rPr>
            <w:t>绿色低碳、循环高效</w:t>
          </w:r>
          <w:r>
            <w:rPr>
              <w:rFonts w:hint="eastAsia" w:cs="Times New Roman"/>
              <w:lang w:eastAsia="zh-CN"/>
            </w:rPr>
            <w:t>”</w:t>
          </w:r>
          <w:r>
            <w:rPr>
              <w:rFonts w:hint="eastAsia" w:cs="Times New Roman"/>
            </w:rPr>
            <w:t>的生态经济</w:t>
          </w:r>
          <w:r>
            <w:tab/>
          </w:r>
          <w:r>
            <w:fldChar w:fldCharType="begin"/>
          </w:r>
          <w:r>
            <w:instrText xml:space="preserve"> PAGEREF _Toc31155 \h </w:instrText>
          </w:r>
          <w:r>
            <w:fldChar w:fldCharType="separate"/>
          </w:r>
          <w:r>
            <w:t>- 8 -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_Toc25062 </w:instrText>
          </w:r>
          <w:r>
            <w:rPr>
              <w:rFonts w:cs="Times New Roman"/>
              <w:lang w:val="zh-CN"/>
            </w:rPr>
            <w:fldChar w:fldCharType="separate"/>
          </w:r>
          <w:r>
            <w:rPr>
              <w:rFonts w:cs="Times New Roman"/>
            </w:rPr>
            <w:t>（一）优化国土空间开发保护格局</w:t>
          </w:r>
          <w:r>
            <w:tab/>
          </w:r>
          <w:r>
            <w:fldChar w:fldCharType="begin"/>
          </w:r>
          <w:r>
            <w:instrText xml:space="preserve"> PAGEREF _Toc25062 \h </w:instrText>
          </w:r>
          <w:r>
            <w:fldChar w:fldCharType="separate"/>
          </w:r>
          <w:r>
            <w:t>- 8 -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_Toc31787 </w:instrText>
          </w:r>
          <w:r>
            <w:rPr>
              <w:rFonts w:cs="Times New Roman"/>
              <w:lang w:val="zh-CN"/>
            </w:rPr>
            <w:fldChar w:fldCharType="separate"/>
          </w:r>
          <w:r>
            <w:rPr>
              <w:rFonts w:cs="Times New Roman"/>
            </w:rPr>
            <w:t>（二）统筹推进工业绿色低碳发展</w:t>
          </w:r>
          <w:r>
            <w:tab/>
          </w:r>
          <w:r>
            <w:fldChar w:fldCharType="begin"/>
          </w:r>
          <w:r>
            <w:instrText xml:space="preserve"> PAGEREF _Toc31787 \h </w:instrText>
          </w:r>
          <w:r>
            <w:fldChar w:fldCharType="separate"/>
          </w:r>
          <w:r>
            <w:t>- 8 -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_Toc8112 </w:instrText>
          </w:r>
          <w:r>
            <w:rPr>
              <w:rFonts w:cs="Times New Roman"/>
              <w:lang w:val="zh-CN"/>
            </w:rPr>
            <w:fldChar w:fldCharType="separate"/>
          </w:r>
          <w:r>
            <w:rPr>
              <w:rFonts w:cs="Times New Roman"/>
            </w:rPr>
            <w:t>（三）大力发展环境友好生态农业</w:t>
          </w:r>
          <w:r>
            <w:tab/>
          </w:r>
          <w:r>
            <w:fldChar w:fldCharType="begin"/>
          </w:r>
          <w:r>
            <w:instrText xml:space="preserve"> PAGEREF _Toc8112 \h </w:instrText>
          </w:r>
          <w:r>
            <w:fldChar w:fldCharType="separate"/>
          </w:r>
          <w:r>
            <w:t>- 10 -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_Toc23887 </w:instrText>
          </w:r>
          <w:r>
            <w:rPr>
              <w:rFonts w:cs="Times New Roman"/>
              <w:lang w:val="zh-CN"/>
            </w:rPr>
            <w:fldChar w:fldCharType="separate"/>
          </w:r>
          <w:r>
            <w:rPr>
              <w:rFonts w:cs="Times New Roman"/>
            </w:rPr>
            <w:t>（四）加快推动生态文旅深度融合</w:t>
          </w:r>
          <w:r>
            <w:tab/>
          </w:r>
          <w:r>
            <w:fldChar w:fldCharType="begin"/>
          </w:r>
          <w:r>
            <w:instrText xml:space="preserve"> PAGEREF _Toc23887 \h </w:instrText>
          </w:r>
          <w:r>
            <w:fldChar w:fldCharType="separate"/>
          </w:r>
          <w:r>
            <w:t>- 13 -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_Toc28250 </w:instrText>
          </w:r>
          <w:r>
            <w:rPr>
              <w:rFonts w:cs="Times New Roman"/>
              <w:lang w:val="zh-CN"/>
            </w:rPr>
            <w:fldChar w:fldCharType="separate"/>
          </w:r>
          <w:r>
            <w:rPr>
              <w:rFonts w:cs="Times New Roman"/>
            </w:rPr>
            <w:t>（五）推动资源节约集约高效利用</w:t>
          </w:r>
          <w:r>
            <w:tab/>
          </w:r>
          <w:r>
            <w:fldChar w:fldCharType="begin"/>
          </w:r>
          <w:r>
            <w:instrText xml:space="preserve"> PAGEREF _Toc28250 \h </w:instrText>
          </w:r>
          <w:r>
            <w:fldChar w:fldCharType="separate"/>
          </w:r>
          <w:r>
            <w:t>- 14 -</w:t>
          </w:r>
          <w:r>
            <w:fldChar w:fldCharType="end"/>
          </w:r>
          <w:r>
            <w:rPr>
              <w:rFonts w:cs="Times New Roman"/>
              <w:lang w:val="zh-CN"/>
            </w:rPr>
            <w:fldChar w:fldCharType="end"/>
          </w:r>
        </w:p>
        <w:p>
          <w:pPr>
            <w:pStyle w:val="21"/>
            <w:tabs>
              <w:tab w:val="right" w:leader="dot" w:pos="8306"/>
              <w:tab w:val="clear" w:pos="8296"/>
            </w:tabs>
          </w:pPr>
          <w:r>
            <w:rPr>
              <w:rFonts w:cs="Times New Roman"/>
              <w:lang w:val="zh-CN"/>
            </w:rPr>
            <w:fldChar w:fldCharType="begin"/>
          </w:r>
          <w:r>
            <w:rPr>
              <w:rFonts w:cs="Times New Roman"/>
              <w:lang w:val="zh-CN"/>
            </w:rPr>
            <w:instrText xml:space="preserve"> HYPERLINK \l _Toc22070 </w:instrText>
          </w:r>
          <w:r>
            <w:rPr>
              <w:rFonts w:cs="Times New Roman"/>
              <w:lang w:val="zh-CN"/>
            </w:rPr>
            <w:fldChar w:fldCharType="separate"/>
          </w:r>
          <w:r>
            <w:rPr>
              <w:rFonts w:hint="eastAsia" w:cs="Times New Roman"/>
              <w:lang w:val="en-US" w:eastAsia="zh-CN"/>
            </w:rPr>
            <w:t>三</w:t>
          </w:r>
          <w:r>
            <w:rPr>
              <w:rFonts w:cs="Times New Roman"/>
            </w:rPr>
            <w:t>、持续深入推进污染防治攻坚，打造</w:t>
          </w:r>
          <w:r>
            <w:rPr>
              <w:rFonts w:hint="eastAsia" w:cs="Times New Roman"/>
              <w:lang w:eastAsia="zh-CN"/>
            </w:rPr>
            <w:t>“</w:t>
          </w:r>
          <w:r>
            <w:rPr>
              <w:rFonts w:cs="Times New Roman"/>
            </w:rPr>
            <w:t>蓝天常驻、绿水长清</w:t>
          </w:r>
          <w:r>
            <w:rPr>
              <w:rFonts w:hint="eastAsia" w:cs="Times New Roman"/>
              <w:lang w:eastAsia="zh-CN"/>
            </w:rPr>
            <w:t>”</w:t>
          </w:r>
          <w:r>
            <w:rPr>
              <w:rFonts w:cs="Times New Roman"/>
            </w:rPr>
            <w:t>的宜人环境</w:t>
          </w:r>
          <w:r>
            <w:tab/>
          </w:r>
          <w:r>
            <w:fldChar w:fldCharType="begin"/>
          </w:r>
          <w:r>
            <w:instrText xml:space="preserve"> PAGEREF _Toc22070 \h </w:instrText>
          </w:r>
          <w:r>
            <w:fldChar w:fldCharType="separate"/>
          </w:r>
          <w:r>
            <w:t>- 15 -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_Toc9115 </w:instrText>
          </w:r>
          <w:r>
            <w:rPr>
              <w:rFonts w:cs="Times New Roman"/>
              <w:lang w:val="zh-CN"/>
            </w:rPr>
            <w:fldChar w:fldCharType="separate"/>
          </w:r>
          <w:r>
            <w:rPr>
              <w:rFonts w:cs="Times New Roman"/>
            </w:rPr>
            <w:t>（一）深化汾河谷地污染治理攻坚战</w:t>
          </w:r>
          <w:r>
            <w:tab/>
          </w:r>
          <w:r>
            <w:fldChar w:fldCharType="begin"/>
          </w:r>
          <w:r>
            <w:instrText xml:space="preserve"> PAGEREF _Toc9115 \h </w:instrText>
          </w:r>
          <w:r>
            <w:fldChar w:fldCharType="separate"/>
          </w:r>
          <w:r>
            <w:t>- 15 -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_Toc27312 </w:instrText>
          </w:r>
          <w:r>
            <w:rPr>
              <w:rFonts w:cs="Times New Roman"/>
              <w:lang w:val="zh-CN"/>
            </w:rPr>
            <w:fldChar w:fldCharType="separate"/>
          </w:r>
          <w:r>
            <w:rPr>
              <w:rFonts w:cs="Times New Roman"/>
            </w:rPr>
            <w:t>（二）深入推进</w:t>
          </w:r>
          <w:r>
            <w:rPr>
              <w:rFonts w:hint="eastAsia" w:cs="Times New Roman"/>
              <w:lang w:eastAsia="zh-CN"/>
            </w:rPr>
            <w:t>“</w:t>
          </w:r>
          <w:r>
            <w:rPr>
              <w:rFonts w:cs="Times New Roman"/>
            </w:rPr>
            <w:t>一泓清水入黄河</w:t>
          </w:r>
          <w:r>
            <w:rPr>
              <w:rFonts w:hint="eastAsia" w:cs="Times New Roman"/>
              <w:lang w:eastAsia="zh-CN"/>
            </w:rPr>
            <w:t>”</w:t>
          </w:r>
          <w:r>
            <w:tab/>
          </w:r>
          <w:r>
            <w:fldChar w:fldCharType="begin"/>
          </w:r>
          <w:r>
            <w:instrText xml:space="preserve"> PAGEREF _Toc27312 \h </w:instrText>
          </w:r>
          <w:r>
            <w:fldChar w:fldCharType="separate"/>
          </w:r>
          <w:r>
            <w:t>- 18 -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_Toc3352 </w:instrText>
          </w:r>
          <w:r>
            <w:rPr>
              <w:rFonts w:cs="Times New Roman"/>
              <w:lang w:val="zh-CN"/>
            </w:rPr>
            <w:fldChar w:fldCharType="separate"/>
          </w:r>
          <w:r>
            <w:rPr>
              <w:rFonts w:cs="Times New Roman"/>
            </w:rPr>
            <w:t>（三）加强土壤和地下水污染防治</w:t>
          </w:r>
          <w:r>
            <w:tab/>
          </w:r>
          <w:r>
            <w:fldChar w:fldCharType="begin"/>
          </w:r>
          <w:r>
            <w:instrText xml:space="preserve"> PAGEREF _Toc3352 \h </w:instrText>
          </w:r>
          <w:r>
            <w:fldChar w:fldCharType="separate"/>
          </w:r>
          <w:r>
            <w:t>- 20 -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_Toc28313 </w:instrText>
          </w:r>
          <w:r>
            <w:rPr>
              <w:rFonts w:cs="Times New Roman"/>
              <w:lang w:val="zh-CN"/>
            </w:rPr>
            <w:fldChar w:fldCharType="separate"/>
          </w:r>
          <w:r>
            <w:rPr>
              <w:rFonts w:cs="Times New Roman"/>
            </w:rPr>
            <w:t>（四）强化固体废物和新污染物治理</w:t>
          </w:r>
          <w:r>
            <w:tab/>
          </w:r>
          <w:r>
            <w:fldChar w:fldCharType="begin"/>
          </w:r>
          <w:r>
            <w:instrText xml:space="preserve"> PAGEREF _Toc28313 \h </w:instrText>
          </w:r>
          <w:r>
            <w:fldChar w:fldCharType="separate"/>
          </w:r>
          <w:r>
            <w:t>- 22 -</w:t>
          </w:r>
          <w:r>
            <w:fldChar w:fldCharType="end"/>
          </w:r>
          <w:r>
            <w:rPr>
              <w:rFonts w:cs="Times New Roman"/>
              <w:lang w:val="zh-CN"/>
            </w:rPr>
            <w:fldChar w:fldCharType="end"/>
          </w:r>
        </w:p>
        <w:p>
          <w:pPr>
            <w:pStyle w:val="21"/>
            <w:tabs>
              <w:tab w:val="right" w:leader="dot" w:pos="8306"/>
              <w:tab w:val="clear" w:pos="8296"/>
            </w:tabs>
          </w:pPr>
          <w:r>
            <w:rPr>
              <w:rFonts w:cs="Times New Roman"/>
              <w:lang w:val="zh-CN"/>
            </w:rPr>
            <w:fldChar w:fldCharType="begin"/>
          </w:r>
          <w:r>
            <w:rPr>
              <w:rFonts w:cs="Times New Roman"/>
              <w:lang w:val="zh-CN"/>
            </w:rPr>
            <w:instrText xml:space="preserve"> HYPERLINK \l _Toc8415 </w:instrText>
          </w:r>
          <w:r>
            <w:rPr>
              <w:rFonts w:cs="Times New Roman"/>
              <w:lang w:val="zh-CN"/>
            </w:rPr>
            <w:fldChar w:fldCharType="separate"/>
          </w:r>
          <w:r>
            <w:rPr>
              <w:rFonts w:hint="eastAsia" w:cs="Times New Roman"/>
              <w:lang w:val="en-US" w:eastAsia="zh-CN"/>
            </w:rPr>
            <w:t>四</w:t>
          </w:r>
          <w:r>
            <w:rPr>
              <w:rFonts w:hint="eastAsia" w:cs="Times New Roman"/>
            </w:rPr>
            <w:t>、有效防范生态环境领域风险，筑牢</w:t>
          </w:r>
          <w:r>
            <w:rPr>
              <w:rFonts w:hint="eastAsia" w:cs="Times New Roman"/>
              <w:lang w:eastAsia="zh-CN"/>
            </w:rPr>
            <w:t>“</w:t>
          </w:r>
          <w:r>
            <w:rPr>
              <w:rFonts w:hint="eastAsia" w:cs="Times New Roman"/>
            </w:rPr>
            <w:t>全域联动、立体高效</w:t>
          </w:r>
          <w:r>
            <w:rPr>
              <w:rFonts w:hint="eastAsia" w:cs="Times New Roman"/>
              <w:lang w:eastAsia="zh-CN"/>
            </w:rPr>
            <w:t>”</w:t>
          </w:r>
          <w:r>
            <w:rPr>
              <w:rFonts w:hint="eastAsia" w:cs="Times New Roman"/>
            </w:rPr>
            <w:t>的安全防线</w:t>
          </w:r>
          <w:r>
            <w:tab/>
          </w:r>
          <w:r>
            <w:fldChar w:fldCharType="begin"/>
          </w:r>
          <w:r>
            <w:instrText xml:space="preserve"> PAGEREF _Toc8415 \h </w:instrText>
          </w:r>
          <w:r>
            <w:fldChar w:fldCharType="separate"/>
          </w:r>
          <w:r>
            <w:t>- 24 -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_Toc13024 </w:instrText>
          </w:r>
          <w:r>
            <w:rPr>
              <w:rFonts w:cs="Times New Roman"/>
              <w:lang w:val="zh-CN"/>
            </w:rPr>
            <w:fldChar w:fldCharType="separate"/>
          </w:r>
          <w:r>
            <w:rPr>
              <w:rFonts w:cs="Times New Roman"/>
            </w:rPr>
            <w:t>（一）强化环境风险应急响应</w:t>
          </w:r>
          <w:r>
            <w:tab/>
          </w:r>
          <w:r>
            <w:fldChar w:fldCharType="begin"/>
          </w:r>
          <w:r>
            <w:instrText xml:space="preserve"> PAGEREF _Toc13024 \h </w:instrText>
          </w:r>
          <w:r>
            <w:fldChar w:fldCharType="separate"/>
          </w:r>
          <w:r>
            <w:t>- 24 -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_Toc15058 </w:instrText>
          </w:r>
          <w:r>
            <w:rPr>
              <w:rFonts w:cs="Times New Roman"/>
              <w:lang w:val="zh-CN"/>
            </w:rPr>
            <w:fldChar w:fldCharType="separate"/>
          </w:r>
          <w:r>
            <w:rPr>
              <w:rFonts w:cs="Times New Roman"/>
            </w:rPr>
            <w:t>（二）加强核与辐射安全监管</w:t>
          </w:r>
          <w:r>
            <w:tab/>
          </w:r>
          <w:r>
            <w:fldChar w:fldCharType="begin"/>
          </w:r>
          <w:r>
            <w:instrText xml:space="preserve"> PAGEREF _Toc15058 \h </w:instrText>
          </w:r>
          <w:r>
            <w:fldChar w:fldCharType="separate"/>
          </w:r>
          <w:r>
            <w:t>- 25 -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_Toc32714 </w:instrText>
          </w:r>
          <w:r>
            <w:rPr>
              <w:rFonts w:cs="Times New Roman"/>
              <w:lang w:val="zh-CN"/>
            </w:rPr>
            <w:fldChar w:fldCharType="separate"/>
          </w:r>
          <w:r>
            <w:rPr>
              <w:rFonts w:cs="Times New Roman"/>
            </w:rPr>
            <w:t>（三）切实防范自然灾害风险</w:t>
          </w:r>
          <w:r>
            <w:tab/>
          </w:r>
          <w:r>
            <w:fldChar w:fldCharType="begin"/>
          </w:r>
          <w:r>
            <w:instrText xml:space="preserve"> PAGEREF _Toc32714 \h </w:instrText>
          </w:r>
          <w:r>
            <w:fldChar w:fldCharType="separate"/>
          </w:r>
          <w:r>
            <w:t>- 25 -</w:t>
          </w:r>
          <w:r>
            <w:fldChar w:fldCharType="end"/>
          </w:r>
          <w:r>
            <w:rPr>
              <w:rFonts w:cs="Times New Roman"/>
              <w:lang w:val="zh-CN"/>
            </w:rPr>
            <w:fldChar w:fldCharType="end"/>
          </w:r>
        </w:p>
        <w:p>
          <w:pPr>
            <w:pStyle w:val="21"/>
            <w:tabs>
              <w:tab w:val="right" w:leader="dot" w:pos="8306"/>
              <w:tab w:val="clear" w:pos="8296"/>
            </w:tabs>
          </w:pPr>
          <w:r>
            <w:rPr>
              <w:rFonts w:cs="Times New Roman"/>
              <w:lang w:val="zh-CN"/>
            </w:rPr>
            <w:fldChar w:fldCharType="begin"/>
          </w:r>
          <w:r>
            <w:rPr>
              <w:rFonts w:cs="Times New Roman"/>
              <w:lang w:val="zh-CN"/>
            </w:rPr>
            <w:instrText xml:space="preserve"> HYPERLINK \l _Toc5735 </w:instrText>
          </w:r>
          <w:r>
            <w:rPr>
              <w:rFonts w:cs="Times New Roman"/>
              <w:lang w:val="zh-CN"/>
            </w:rPr>
            <w:fldChar w:fldCharType="separate"/>
          </w:r>
          <w:r>
            <w:rPr>
              <w:rFonts w:hint="eastAsia" w:cs="Times New Roman"/>
              <w:lang w:val="en-US" w:eastAsia="zh-CN"/>
            </w:rPr>
            <w:t>五</w:t>
          </w:r>
          <w:r>
            <w:rPr>
              <w:rFonts w:hint="eastAsia" w:cs="Times New Roman"/>
            </w:rPr>
            <w:t>、提升生态系统多样性稳定性持续性，塑造</w:t>
          </w:r>
          <w:r>
            <w:rPr>
              <w:rFonts w:hint="eastAsia" w:cs="Times New Roman"/>
              <w:lang w:eastAsia="zh-CN"/>
            </w:rPr>
            <w:t>“</w:t>
          </w:r>
          <w:r>
            <w:rPr>
              <w:rFonts w:hint="eastAsia" w:cs="Times New Roman"/>
            </w:rPr>
            <w:t>生机盎然、相依相存</w:t>
          </w:r>
          <w:r>
            <w:rPr>
              <w:rFonts w:hint="eastAsia" w:cs="Times New Roman"/>
              <w:lang w:eastAsia="zh-CN"/>
            </w:rPr>
            <w:t>”</w:t>
          </w:r>
          <w:r>
            <w:rPr>
              <w:rFonts w:hint="eastAsia" w:cs="Times New Roman"/>
            </w:rPr>
            <w:t>的自然生态</w:t>
          </w:r>
          <w:r>
            <w:tab/>
          </w:r>
          <w:r>
            <w:fldChar w:fldCharType="begin"/>
          </w:r>
          <w:r>
            <w:instrText xml:space="preserve"> PAGEREF _Toc5735 \h </w:instrText>
          </w:r>
          <w:r>
            <w:fldChar w:fldCharType="separate"/>
          </w:r>
          <w:r>
            <w:t>- 26 -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_Toc28209 </w:instrText>
          </w:r>
          <w:r>
            <w:rPr>
              <w:rFonts w:cs="Times New Roman"/>
              <w:lang w:val="zh-CN"/>
            </w:rPr>
            <w:fldChar w:fldCharType="separate"/>
          </w:r>
          <w:r>
            <w:rPr>
              <w:rFonts w:cs="Times New Roman"/>
            </w:rPr>
            <w:t>（一）推动三生空间融合</w:t>
          </w:r>
          <w:r>
            <w:tab/>
          </w:r>
          <w:r>
            <w:fldChar w:fldCharType="begin"/>
          </w:r>
          <w:r>
            <w:instrText xml:space="preserve"> PAGEREF _Toc28209 \h </w:instrText>
          </w:r>
          <w:r>
            <w:fldChar w:fldCharType="separate"/>
          </w:r>
          <w:r>
            <w:t>- 26 -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_Toc28515 </w:instrText>
          </w:r>
          <w:r>
            <w:rPr>
              <w:rFonts w:cs="Times New Roman"/>
              <w:lang w:val="zh-CN"/>
            </w:rPr>
            <w:fldChar w:fldCharType="separate"/>
          </w:r>
          <w:r>
            <w:rPr>
              <w:rFonts w:cs="Times New Roman"/>
            </w:rPr>
            <w:t>（二）</w:t>
          </w:r>
          <w:r>
            <w:rPr>
              <w:rFonts w:hint="eastAsia" w:cs="Times New Roman"/>
              <w:lang w:val="en-US" w:eastAsia="zh-CN"/>
            </w:rPr>
            <w:t>筑牢</w:t>
          </w:r>
          <w:r>
            <w:rPr>
              <w:rFonts w:cs="Times New Roman"/>
            </w:rPr>
            <w:t>生态安全屏障</w:t>
          </w:r>
          <w:r>
            <w:tab/>
          </w:r>
          <w:r>
            <w:fldChar w:fldCharType="begin"/>
          </w:r>
          <w:r>
            <w:instrText xml:space="preserve"> PAGEREF _Toc28515 \h </w:instrText>
          </w:r>
          <w:r>
            <w:fldChar w:fldCharType="separate"/>
          </w:r>
          <w:r>
            <w:t>- 28 -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_Toc32716 </w:instrText>
          </w:r>
          <w:r>
            <w:rPr>
              <w:rFonts w:cs="Times New Roman"/>
              <w:lang w:val="zh-CN"/>
            </w:rPr>
            <w:fldChar w:fldCharType="separate"/>
          </w:r>
          <w:r>
            <w:rPr>
              <w:rFonts w:cs="Times New Roman"/>
            </w:rPr>
            <w:t>（三）加强生态保护监管</w:t>
          </w:r>
          <w:r>
            <w:tab/>
          </w:r>
          <w:r>
            <w:fldChar w:fldCharType="begin"/>
          </w:r>
          <w:r>
            <w:instrText xml:space="preserve"> PAGEREF _Toc32716 \h </w:instrText>
          </w:r>
          <w:r>
            <w:fldChar w:fldCharType="separate"/>
          </w:r>
          <w:r>
            <w:t>- 29 -</w:t>
          </w:r>
          <w:r>
            <w:fldChar w:fldCharType="end"/>
          </w:r>
          <w:r>
            <w:rPr>
              <w:rFonts w:cs="Times New Roman"/>
              <w:lang w:val="zh-CN"/>
            </w:rPr>
            <w:fldChar w:fldCharType="end"/>
          </w:r>
        </w:p>
        <w:p>
          <w:pPr>
            <w:pStyle w:val="21"/>
            <w:tabs>
              <w:tab w:val="right" w:leader="dot" w:pos="8306"/>
              <w:tab w:val="clear" w:pos="8296"/>
            </w:tabs>
          </w:pPr>
          <w:r>
            <w:rPr>
              <w:rFonts w:cs="Times New Roman"/>
              <w:lang w:val="zh-CN"/>
            </w:rPr>
            <w:fldChar w:fldCharType="begin"/>
          </w:r>
          <w:r>
            <w:rPr>
              <w:rFonts w:cs="Times New Roman"/>
              <w:lang w:val="zh-CN"/>
            </w:rPr>
            <w:instrText xml:space="preserve"> HYPERLINK \l _Toc18815 </w:instrText>
          </w:r>
          <w:r>
            <w:rPr>
              <w:rFonts w:cs="Times New Roman"/>
              <w:lang w:val="zh-CN"/>
            </w:rPr>
            <w:fldChar w:fldCharType="separate"/>
          </w:r>
          <w:r>
            <w:rPr>
              <w:rFonts w:hint="eastAsia" w:cs="Times New Roman"/>
              <w:lang w:val="en-US" w:eastAsia="zh-CN"/>
            </w:rPr>
            <w:t>六</w:t>
          </w:r>
          <w:r>
            <w:rPr>
              <w:rFonts w:cs="Times New Roman"/>
            </w:rPr>
            <w:t>、打造宜居宜业宜游的魅力城乡，建设</w:t>
          </w:r>
          <w:r>
            <w:rPr>
              <w:rFonts w:hint="eastAsia" w:cs="Times New Roman"/>
              <w:lang w:eastAsia="zh-CN"/>
            </w:rPr>
            <w:t>“</w:t>
          </w:r>
          <w:r>
            <w:rPr>
              <w:rFonts w:cs="Times New Roman"/>
            </w:rPr>
            <w:t>晋风晋韵、彰显特色</w:t>
          </w:r>
          <w:r>
            <w:rPr>
              <w:rFonts w:hint="eastAsia" w:cs="Times New Roman"/>
              <w:lang w:eastAsia="zh-CN"/>
            </w:rPr>
            <w:t>”</w:t>
          </w:r>
          <w:r>
            <w:rPr>
              <w:rFonts w:cs="Times New Roman"/>
            </w:rPr>
            <w:t>的美丽家园</w:t>
          </w:r>
          <w:r>
            <w:tab/>
          </w:r>
          <w:r>
            <w:fldChar w:fldCharType="begin"/>
          </w:r>
          <w:r>
            <w:instrText xml:space="preserve"> PAGEREF _Toc18815 \h </w:instrText>
          </w:r>
          <w:r>
            <w:fldChar w:fldCharType="separate"/>
          </w:r>
          <w:r>
            <w:t>- 30 -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_Toc5840 </w:instrText>
          </w:r>
          <w:r>
            <w:rPr>
              <w:rFonts w:cs="Times New Roman"/>
              <w:lang w:val="zh-CN"/>
            </w:rPr>
            <w:fldChar w:fldCharType="separate"/>
          </w:r>
          <w:r>
            <w:rPr>
              <w:rFonts w:cs="Times New Roman"/>
            </w:rPr>
            <w:t>（一）打造宜居宜业的美丽县城</w:t>
          </w:r>
          <w:r>
            <w:tab/>
          </w:r>
          <w:r>
            <w:fldChar w:fldCharType="begin"/>
          </w:r>
          <w:r>
            <w:instrText xml:space="preserve"> PAGEREF _Toc5840 \h </w:instrText>
          </w:r>
          <w:r>
            <w:fldChar w:fldCharType="separate"/>
          </w:r>
          <w:r>
            <w:t>- 30 -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_Toc7697 </w:instrText>
          </w:r>
          <w:r>
            <w:rPr>
              <w:rFonts w:cs="Times New Roman"/>
              <w:lang w:val="zh-CN"/>
            </w:rPr>
            <w:fldChar w:fldCharType="separate"/>
          </w:r>
          <w:r>
            <w:rPr>
              <w:rFonts w:cs="Times New Roman"/>
            </w:rPr>
            <w:t>（二）建设城乡互通的新型城镇</w:t>
          </w:r>
          <w:r>
            <w:tab/>
          </w:r>
          <w:r>
            <w:fldChar w:fldCharType="begin"/>
          </w:r>
          <w:r>
            <w:instrText xml:space="preserve"> PAGEREF _Toc7697 \h </w:instrText>
          </w:r>
          <w:r>
            <w:fldChar w:fldCharType="separate"/>
          </w:r>
          <w:r>
            <w:t>- 31 -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_Toc12127 </w:instrText>
          </w:r>
          <w:r>
            <w:rPr>
              <w:rFonts w:cs="Times New Roman"/>
              <w:lang w:val="zh-CN"/>
            </w:rPr>
            <w:fldChar w:fldCharType="separate"/>
          </w:r>
          <w:r>
            <w:rPr>
              <w:rFonts w:cs="Times New Roman"/>
            </w:rPr>
            <w:t>（三）绘就业兴绿盈的美丽乡村</w:t>
          </w:r>
          <w:r>
            <w:tab/>
          </w:r>
          <w:r>
            <w:fldChar w:fldCharType="begin"/>
          </w:r>
          <w:r>
            <w:instrText xml:space="preserve"> PAGEREF _Toc12127 \h </w:instrText>
          </w:r>
          <w:r>
            <w:fldChar w:fldCharType="separate"/>
          </w:r>
          <w:r>
            <w:t>- 32 -</w:t>
          </w:r>
          <w:r>
            <w:fldChar w:fldCharType="end"/>
          </w:r>
          <w:r>
            <w:rPr>
              <w:rFonts w:cs="Times New Roman"/>
              <w:lang w:val="zh-CN"/>
            </w:rPr>
            <w:fldChar w:fldCharType="end"/>
          </w:r>
        </w:p>
        <w:p>
          <w:pPr>
            <w:pStyle w:val="21"/>
            <w:tabs>
              <w:tab w:val="right" w:leader="dot" w:pos="8306"/>
              <w:tab w:val="clear" w:pos="8296"/>
            </w:tabs>
          </w:pPr>
          <w:r>
            <w:rPr>
              <w:rFonts w:cs="Times New Roman"/>
              <w:lang w:val="zh-CN"/>
            </w:rPr>
            <w:fldChar w:fldCharType="begin"/>
          </w:r>
          <w:r>
            <w:rPr>
              <w:rFonts w:cs="Times New Roman"/>
              <w:lang w:val="zh-CN"/>
            </w:rPr>
            <w:instrText xml:space="preserve"> HYPERLINK \l _Toc26678 </w:instrText>
          </w:r>
          <w:r>
            <w:rPr>
              <w:rFonts w:cs="Times New Roman"/>
              <w:lang w:val="zh-CN"/>
            </w:rPr>
            <w:fldChar w:fldCharType="separate"/>
          </w:r>
          <w:r>
            <w:rPr>
              <w:rFonts w:hint="eastAsia" w:cs="Times New Roman"/>
              <w:lang w:val="en-US" w:eastAsia="zh-CN"/>
            </w:rPr>
            <w:t>七</w:t>
          </w:r>
          <w:r>
            <w:rPr>
              <w:rFonts w:cs="Times New Roman"/>
            </w:rPr>
            <w:t>、挖掘新时代生态文明建设的生动实践，弘扬</w:t>
          </w:r>
          <w:r>
            <w:rPr>
              <w:rFonts w:hint="eastAsia" w:cs="Times New Roman"/>
              <w:lang w:eastAsia="zh-CN"/>
            </w:rPr>
            <w:t>“</w:t>
          </w:r>
          <w:r>
            <w:rPr>
              <w:rFonts w:cs="Times New Roman"/>
            </w:rPr>
            <w:t>天人合一、万物共育</w:t>
          </w:r>
          <w:r>
            <w:rPr>
              <w:rFonts w:hint="eastAsia" w:cs="Times New Roman"/>
              <w:lang w:eastAsia="zh-CN"/>
            </w:rPr>
            <w:t>”</w:t>
          </w:r>
          <w:r>
            <w:rPr>
              <w:rFonts w:cs="Times New Roman"/>
            </w:rPr>
            <w:t>的生态文化</w:t>
          </w:r>
          <w:r>
            <w:tab/>
          </w:r>
          <w:r>
            <w:fldChar w:fldCharType="begin"/>
          </w:r>
          <w:r>
            <w:instrText xml:space="preserve"> PAGEREF _Toc26678 \h </w:instrText>
          </w:r>
          <w:r>
            <w:fldChar w:fldCharType="separate"/>
          </w:r>
          <w:r>
            <w:t>- 34 -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_Toc4509 </w:instrText>
          </w:r>
          <w:r>
            <w:rPr>
              <w:rFonts w:cs="Times New Roman"/>
              <w:lang w:val="zh-CN"/>
            </w:rPr>
            <w:fldChar w:fldCharType="separate"/>
          </w:r>
          <w:r>
            <w:rPr>
              <w:rFonts w:cs="Times New Roman"/>
            </w:rPr>
            <w:t>（一）挖掘传承传统生态文化</w:t>
          </w:r>
          <w:r>
            <w:tab/>
          </w:r>
          <w:r>
            <w:fldChar w:fldCharType="begin"/>
          </w:r>
          <w:r>
            <w:instrText xml:space="preserve"> PAGEREF _Toc4509 \h </w:instrText>
          </w:r>
          <w:r>
            <w:fldChar w:fldCharType="separate"/>
          </w:r>
          <w:r>
            <w:t>- 34 -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_Toc2831 </w:instrText>
          </w:r>
          <w:r>
            <w:rPr>
              <w:rFonts w:cs="Times New Roman"/>
              <w:lang w:val="zh-CN"/>
            </w:rPr>
            <w:fldChar w:fldCharType="separate"/>
          </w:r>
          <w:r>
            <w:rPr>
              <w:rFonts w:cs="Times New Roman"/>
            </w:rPr>
            <w:t>（二）弘扬倡导美丽生态文化</w:t>
          </w:r>
          <w:r>
            <w:tab/>
          </w:r>
          <w:r>
            <w:fldChar w:fldCharType="begin"/>
          </w:r>
          <w:r>
            <w:instrText xml:space="preserve"> PAGEREF _Toc2831 \h </w:instrText>
          </w:r>
          <w:r>
            <w:fldChar w:fldCharType="separate"/>
          </w:r>
          <w:r>
            <w:t>- 35 -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_Toc10612 </w:instrText>
          </w:r>
          <w:r>
            <w:rPr>
              <w:rFonts w:cs="Times New Roman"/>
              <w:lang w:val="zh-CN"/>
            </w:rPr>
            <w:fldChar w:fldCharType="separate"/>
          </w:r>
          <w:r>
            <w:rPr>
              <w:rFonts w:cs="Times New Roman"/>
            </w:rPr>
            <w:t>（三）推动形成全民生态自觉</w:t>
          </w:r>
          <w:r>
            <w:tab/>
          </w:r>
          <w:r>
            <w:fldChar w:fldCharType="begin"/>
          </w:r>
          <w:r>
            <w:instrText xml:space="preserve"> PAGEREF _Toc10612 \h </w:instrText>
          </w:r>
          <w:r>
            <w:fldChar w:fldCharType="separate"/>
          </w:r>
          <w:r>
            <w:t>- 36 -</w:t>
          </w:r>
          <w:r>
            <w:fldChar w:fldCharType="end"/>
          </w:r>
          <w:r>
            <w:rPr>
              <w:rFonts w:cs="Times New Roman"/>
              <w:lang w:val="zh-CN"/>
            </w:rPr>
            <w:fldChar w:fldCharType="end"/>
          </w:r>
        </w:p>
        <w:p>
          <w:pPr>
            <w:pStyle w:val="21"/>
            <w:tabs>
              <w:tab w:val="right" w:leader="dot" w:pos="8306"/>
              <w:tab w:val="clear" w:pos="8296"/>
            </w:tabs>
          </w:pPr>
          <w:r>
            <w:rPr>
              <w:rFonts w:cs="Times New Roman"/>
              <w:lang w:val="zh-CN"/>
            </w:rPr>
            <w:fldChar w:fldCharType="begin"/>
          </w:r>
          <w:r>
            <w:rPr>
              <w:rFonts w:cs="Times New Roman"/>
              <w:lang w:val="zh-CN"/>
            </w:rPr>
            <w:instrText xml:space="preserve"> HYPERLINK \l _Toc11015 </w:instrText>
          </w:r>
          <w:r>
            <w:rPr>
              <w:rFonts w:cs="Times New Roman"/>
              <w:lang w:val="zh-CN"/>
            </w:rPr>
            <w:fldChar w:fldCharType="separate"/>
          </w:r>
          <w:r>
            <w:rPr>
              <w:rFonts w:hint="eastAsia" w:cs="Times New Roman"/>
              <w:lang w:val="en-US" w:eastAsia="zh-CN"/>
            </w:rPr>
            <w:t>八</w:t>
          </w:r>
          <w:r>
            <w:rPr>
              <w:rFonts w:cs="Times New Roman"/>
            </w:rPr>
            <w:t>、推动多元协同共治，完善</w:t>
          </w:r>
          <w:r>
            <w:rPr>
              <w:rFonts w:hint="eastAsia" w:cs="Times New Roman"/>
              <w:lang w:eastAsia="zh-CN"/>
            </w:rPr>
            <w:t>“</w:t>
          </w:r>
          <w:r>
            <w:rPr>
              <w:rFonts w:cs="Times New Roman"/>
            </w:rPr>
            <w:t>智慧高效、保障有力</w:t>
          </w:r>
          <w:r>
            <w:rPr>
              <w:rFonts w:hint="eastAsia" w:cs="Times New Roman"/>
              <w:lang w:eastAsia="zh-CN"/>
            </w:rPr>
            <w:t>”</w:t>
          </w:r>
          <w:r>
            <w:rPr>
              <w:rFonts w:cs="Times New Roman"/>
            </w:rPr>
            <w:t>的治理体系</w:t>
          </w:r>
          <w:r>
            <w:tab/>
          </w:r>
          <w:r>
            <w:fldChar w:fldCharType="begin"/>
          </w:r>
          <w:r>
            <w:instrText xml:space="preserve"> PAGEREF _Toc11015 \h </w:instrText>
          </w:r>
          <w:r>
            <w:fldChar w:fldCharType="separate"/>
          </w:r>
          <w:r>
            <w:t>- 38 -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_Toc22842 </w:instrText>
          </w:r>
          <w:r>
            <w:rPr>
              <w:rFonts w:cs="Times New Roman"/>
              <w:lang w:val="zh-CN"/>
            </w:rPr>
            <w:fldChar w:fldCharType="separate"/>
          </w:r>
          <w:r>
            <w:rPr>
              <w:rFonts w:cs="Times New Roman"/>
            </w:rPr>
            <w:t>（一）健全生态环境保护制度体系</w:t>
          </w:r>
          <w:r>
            <w:tab/>
          </w:r>
          <w:r>
            <w:fldChar w:fldCharType="begin"/>
          </w:r>
          <w:r>
            <w:instrText xml:space="preserve"> PAGEREF _Toc22842 \h </w:instrText>
          </w:r>
          <w:r>
            <w:fldChar w:fldCharType="separate"/>
          </w:r>
          <w:r>
            <w:t>- 38 -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_Toc6726 </w:instrText>
          </w:r>
          <w:r>
            <w:rPr>
              <w:rFonts w:cs="Times New Roman"/>
              <w:lang w:val="zh-CN"/>
            </w:rPr>
            <w:fldChar w:fldCharType="separate"/>
          </w:r>
          <w:r>
            <w:rPr>
              <w:rFonts w:cs="Times New Roman"/>
            </w:rPr>
            <w:t>（二）提升生态环境监管服务能力</w:t>
          </w:r>
          <w:r>
            <w:tab/>
          </w:r>
          <w:r>
            <w:fldChar w:fldCharType="begin"/>
          </w:r>
          <w:r>
            <w:instrText xml:space="preserve"> PAGEREF _Toc6726 \h </w:instrText>
          </w:r>
          <w:r>
            <w:fldChar w:fldCharType="separate"/>
          </w:r>
          <w:r>
            <w:t>- 39 -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_Toc1763 </w:instrText>
          </w:r>
          <w:r>
            <w:rPr>
              <w:rFonts w:cs="Times New Roman"/>
              <w:lang w:val="zh-CN"/>
            </w:rPr>
            <w:fldChar w:fldCharType="separate"/>
          </w:r>
          <w:r>
            <w:rPr>
              <w:rFonts w:cs="Times New Roman"/>
            </w:rPr>
            <w:t>（三）优化绿色发展激励约束机制</w:t>
          </w:r>
          <w:r>
            <w:tab/>
          </w:r>
          <w:r>
            <w:fldChar w:fldCharType="begin"/>
          </w:r>
          <w:r>
            <w:instrText xml:space="preserve"> PAGEREF _Toc1763 \h </w:instrText>
          </w:r>
          <w:r>
            <w:fldChar w:fldCharType="separate"/>
          </w:r>
          <w:r>
            <w:t>- 41 -</w:t>
          </w:r>
          <w:r>
            <w:fldChar w:fldCharType="end"/>
          </w:r>
          <w:r>
            <w:rPr>
              <w:rFonts w:cs="Times New Roman"/>
              <w:lang w:val="zh-CN"/>
            </w:rPr>
            <w:fldChar w:fldCharType="end"/>
          </w:r>
        </w:p>
        <w:p>
          <w:pPr>
            <w:pStyle w:val="21"/>
            <w:tabs>
              <w:tab w:val="right" w:leader="dot" w:pos="8306"/>
              <w:tab w:val="clear" w:pos="8296"/>
            </w:tabs>
          </w:pPr>
          <w:r>
            <w:rPr>
              <w:rFonts w:cs="Times New Roman"/>
              <w:lang w:val="zh-CN"/>
            </w:rPr>
            <w:fldChar w:fldCharType="begin"/>
          </w:r>
          <w:r>
            <w:rPr>
              <w:rFonts w:cs="Times New Roman"/>
              <w:lang w:val="zh-CN"/>
            </w:rPr>
            <w:instrText xml:space="preserve"> HYPERLINK \l _Toc14777 </w:instrText>
          </w:r>
          <w:r>
            <w:rPr>
              <w:rFonts w:cs="Times New Roman"/>
              <w:lang w:val="zh-CN"/>
            </w:rPr>
            <w:fldChar w:fldCharType="separate"/>
          </w:r>
          <w:r>
            <w:rPr>
              <w:rFonts w:hint="eastAsia" w:cs="Times New Roman"/>
              <w:lang w:val="en-US" w:eastAsia="zh-CN"/>
            </w:rPr>
            <w:t>九</w:t>
          </w:r>
          <w:r>
            <w:rPr>
              <w:rFonts w:cs="Times New Roman"/>
            </w:rPr>
            <w:t>、保障措施</w:t>
          </w:r>
          <w:r>
            <w:tab/>
          </w:r>
          <w:r>
            <w:fldChar w:fldCharType="begin"/>
          </w:r>
          <w:r>
            <w:instrText xml:space="preserve"> PAGEREF _Toc14777 \h </w:instrText>
          </w:r>
          <w:r>
            <w:fldChar w:fldCharType="separate"/>
          </w:r>
          <w:r>
            <w:t>- 42 -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_Toc24418 </w:instrText>
          </w:r>
          <w:r>
            <w:rPr>
              <w:rFonts w:cs="Times New Roman"/>
              <w:lang w:val="zh-CN"/>
            </w:rPr>
            <w:fldChar w:fldCharType="separate"/>
          </w:r>
          <w:r>
            <w:rPr>
              <w:rFonts w:cs="Times New Roman"/>
            </w:rPr>
            <w:t>（一）加强组织领导</w:t>
          </w:r>
          <w:r>
            <w:tab/>
          </w:r>
          <w:r>
            <w:fldChar w:fldCharType="begin"/>
          </w:r>
          <w:r>
            <w:instrText xml:space="preserve"> PAGEREF _Toc24418 \h </w:instrText>
          </w:r>
          <w:r>
            <w:fldChar w:fldCharType="separate"/>
          </w:r>
          <w:r>
            <w:t>- 42 -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_Toc31574 </w:instrText>
          </w:r>
          <w:r>
            <w:rPr>
              <w:rFonts w:cs="Times New Roman"/>
              <w:lang w:val="zh-CN"/>
            </w:rPr>
            <w:fldChar w:fldCharType="separate"/>
          </w:r>
          <w:r>
            <w:rPr>
              <w:rFonts w:cs="Times New Roman"/>
            </w:rPr>
            <w:t>（二）强化资金保障</w:t>
          </w:r>
          <w:r>
            <w:tab/>
          </w:r>
          <w:r>
            <w:fldChar w:fldCharType="begin"/>
          </w:r>
          <w:r>
            <w:instrText xml:space="preserve"> PAGEREF _Toc31574 \h </w:instrText>
          </w:r>
          <w:r>
            <w:fldChar w:fldCharType="separate"/>
          </w:r>
          <w:r>
            <w:t>- 42 -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_Toc27232 </w:instrText>
          </w:r>
          <w:r>
            <w:rPr>
              <w:rFonts w:cs="Times New Roman"/>
              <w:lang w:val="zh-CN"/>
            </w:rPr>
            <w:fldChar w:fldCharType="separate"/>
          </w:r>
          <w:r>
            <w:rPr>
              <w:rFonts w:cs="Times New Roman"/>
            </w:rPr>
            <w:t>（三）夯实科技支撑</w:t>
          </w:r>
          <w:r>
            <w:tab/>
          </w:r>
          <w:r>
            <w:fldChar w:fldCharType="begin"/>
          </w:r>
          <w:r>
            <w:instrText xml:space="preserve"> PAGEREF _Toc27232 \h </w:instrText>
          </w:r>
          <w:r>
            <w:fldChar w:fldCharType="separate"/>
          </w:r>
          <w:r>
            <w:t>- 43 -</w:t>
          </w:r>
          <w:r>
            <w:fldChar w:fldCharType="end"/>
          </w:r>
          <w:r>
            <w:rPr>
              <w:rFonts w:cs="Times New Roman"/>
              <w:lang w:val="zh-CN"/>
            </w:rPr>
            <w:fldChar w:fldCharType="end"/>
          </w:r>
        </w:p>
        <w:p>
          <w:pPr>
            <w:pStyle w:val="26"/>
            <w:tabs>
              <w:tab w:val="right" w:leader="dot" w:pos="8306"/>
            </w:tabs>
          </w:pPr>
          <w:r>
            <w:rPr>
              <w:rFonts w:cs="Times New Roman"/>
              <w:lang w:val="zh-CN"/>
            </w:rPr>
            <w:fldChar w:fldCharType="begin"/>
          </w:r>
          <w:r>
            <w:rPr>
              <w:rFonts w:cs="Times New Roman"/>
              <w:lang w:val="zh-CN"/>
            </w:rPr>
            <w:instrText xml:space="preserve"> HYPERLINK \l _Toc22404 </w:instrText>
          </w:r>
          <w:r>
            <w:rPr>
              <w:rFonts w:cs="Times New Roman"/>
              <w:lang w:val="zh-CN"/>
            </w:rPr>
            <w:fldChar w:fldCharType="separate"/>
          </w:r>
          <w:r>
            <w:rPr>
              <w:rFonts w:cs="Times New Roman"/>
            </w:rPr>
            <w:t>（四）强化宣传教育</w:t>
          </w:r>
          <w:r>
            <w:tab/>
          </w:r>
          <w:r>
            <w:fldChar w:fldCharType="begin"/>
          </w:r>
          <w:r>
            <w:instrText xml:space="preserve"> PAGEREF _Toc22404 \h </w:instrText>
          </w:r>
          <w:r>
            <w:fldChar w:fldCharType="separate"/>
          </w:r>
          <w:r>
            <w:t>- 43 -</w:t>
          </w:r>
          <w:r>
            <w:fldChar w:fldCharType="end"/>
          </w:r>
          <w:r>
            <w:rPr>
              <w:rFonts w:cs="Times New Roman"/>
              <w:lang w:val="zh-CN"/>
            </w:rPr>
            <w:fldChar w:fldCharType="end"/>
          </w:r>
        </w:p>
        <w:p>
          <w:pPr>
            <w:pStyle w:val="21"/>
            <w:ind w:left="641"/>
            <w:rPr>
              <w:rFonts w:cs="Times New Roman"/>
            </w:rPr>
          </w:pPr>
          <w:r>
            <w:rPr>
              <w:rFonts w:cs="Times New Roman"/>
              <w:lang w:val="zh-CN"/>
            </w:rPr>
            <w:fldChar w:fldCharType="end"/>
          </w:r>
        </w:p>
      </w:sdtContent>
    </w:sdt>
    <w:p>
      <w:pPr>
        <w:pStyle w:val="89"/>
        <w:ind w:firstLine="0" w:firstLineChars="0"/>
        <w:sectPr>
          <w:pgSz w:w="11906" w:h="16838"/>
          <w:pgMar w:top="1440" w:right="1800" w:bottom="1440" w:left="1800" w:header="851" w:footer="992" w:gutter="0"/>
          <w:pgNumType w:fmt="decimal" w:start="1"/>
          <w:cols w:space="425" w:num="1"/>
          <w:docGrid w:type="lines" w:linePitch="312" w:charSpace="0"/>
        </w:sectPr>
      </w:pPr>
    </w:p>
    <w:p>
      <w:pPr>
        <w:pStyle w:val="4"/>
        <w:spacing w:line="240" w:lineRule="auto"/>
        <w:ind w:firstLine="640"/>
        <w:jc w:val="left"/>
        <w:rPr>
          <w:rFonts w:cs="Times New Roman"/>
        </w:rPr>
      </w:pPr>
      <w:bookmarkStart w:id="12" w:name="_Toc177067080"/>
      <w:bookmarkStart w:id="13" w:name="_Toc25741"/>
      <w:bookmarkStart w:id="14" w:name="_Toc176974227"/>
      <w:bookmarkStart w:id="15" w:name="_Toc1238"/>
      <w:bookmarkStart w:id="16" w:name="_Toc2426"/>
      <w:r>
        <w:rPr>
          <w:rFonts w:hint="eastAsia" w:cs="Times New Roman"/>
          <w:bCs/>
          <w:sz w:val="36"/>
          <w:szCs w:val="36"/>
        </w:rPr>
        <w:t>一、</w:t>
      </w:r>
      <w:bookmarkEnd w:id="7"/>
      <w:bookmarkEnd w:id="8"/>
      <w:bookmarkEnd w:id="9"/>
      <w:bookmarkEnd w:id="10"/>
      <w:bookmarkEnd w:id="11"/>
      <w:bookmarkEnd w:id="12"/>
      <w:bookmarkEnd w:id="13"/>
      <w:bookmarkEnd w:id="14"/>
      <w:bookmarkEnd w:id="15"/>
      <w:bookmarkEnd w:id="16"/>
      <w:bookmarkStart w:id="17" w:name="_Toc177067084"/>
      <w:bookmarkStart w:id="18" w:name="_Toc3299"/>
      <w:bookmarkStart w:id="19" w:name="_Toc13457"/>
      <w:bookmarkStart w:id="20" w:name="_Toc176974231"/>
      <w:bookmarkStart w:id="21" w:name="_Toc7719"/>
      <w:r>
        <w:rPr>
          <w:rFonts w:hint="eastAsia" w:cs="Times New Roman"/>
        </w:rPr>
        <w:t>总体要求</w:t>
      </w:r>
      <w:bookmarkEnd w:id="17"/>
      <w:bookmarkEnd w:id="18"/>
      <w:bookmarkEnd w:id="19"/>
      <w:bookmarkEnd w:id="20"/>
      <w:bookmarkEnd w:id="21"/>
    </w:p>
    <w:p>
      <w:pPr>
        <w:pStyle w:val="5"/>
        <w:spacing w:before="156" w:after="156" w:line="240" w:lineRule="auto"/>
        <w:ind w:firstLine="643"/>
        <w:rPr>
          <w:rFonts w:cs="Times New Roman"/>
        </w:rPr>
      </w:pPr>
      <w:bookmarkStart w:id="22" w:name="_Toc62831626"/>
      <w:bookmarkStart w:id="23" w:name="_Toc12974"/>
      <w:bookmarkStart w:id="24" w:name="_Toc19182"/>
      <w:bookmarkStart w:id="25" w:name="_Toc24163"/>
      <w:bookmarkStart w:id="26" w:name="_Toc176974232"/>
      <w:bookmarkStart w:id="27" w:name="_Toc6331"/>
      <w:bookmarkStart w:id="28" w:name="_Toc177067085"/>
      <w:bookmarkStart w:id="29" w:name="_Toc5574"/>
      <w:bookmarkStart w:id="30" w:name="_Toc14685_WPSOffice_Level2"/>
      <w:bookmarkStart w:id="31" w:name="_Toc12475"/>
      <w:r>
        <w:rPr>
          <w:rFonts w:hint="eastAsia" w:cs="Times New Roman"/>
        </w:rPr>
        <w:t>（一）指导思想</w:t>
      </w:r>
      <w:bookmarkEnd w:id="22"/>
      <w:bookmarkEnd w:id="23"/>
      <w:bookmarkEnd w:id="24"/>
      <w:bookmarkEnd w:id="25"/>
      <w:bookmarkEnd w:id="26"/>
      <w:bookmarkEnd w:id="27"/>
      <w:bookmarkEnd w:id="28"/>
      <w:bookmarkEnd w:id="29"/>
      <w:bookmarkEnd w:id="30"/>
      <w:bookmarkEnd w:id="31"/>
    </w:p>
    <w:p>
      <w:pPr>
        <w:spacing w:line="480" w:lineRule="atLeast"/>
        <w:ind w:firstLine="640"/>
        <w:rPr>
          <w:rFonts w:cs="Times New Roman"/>
          <w:color w:val="000000"/>
          <w:szCs w:val="28"/>
          <w:lang w:bidi="ar"/>
        </w:rPr>
      </w:pPr>
      <w:r>
        <w:rPr>
          <w:rFonts w:hint="eastAsia" w:cs="Times New Roman"/>
        </w:rPr>
        <w:t>以习近平新时代中国特色社会主义思想特别是习近平生态文明思想为指导，全面贯彻落实党的二十大和二十届二中、三中全会精神，落实全国生态环境保护大会部署，深入贯彻习近平总书记对山西工作的重要讲话重要指示精神，</w:t>
      </w:r>
      <w:r>
        <w:rPr>
          <w:rFonts w:cs="Times New Roman"/>
        </w:rPr>
        <w:t>立足</w:t>
      </w:r>
      <w:r>
        <w:rPr>
          <w:rFonts w:hint="eastAsia" w:cs="Times New Roman"/>
        </w:rPr>
        <w:t>新发展阶段、贯彻新发展理念、构建新发展格局，牢固树立和践行绿水青山就是金山银山理念，处理好高质量发展和高水平保护、重点攻坚和协同治理、自然恢复和人工修复、外部约束和内生动力的关系，积极助力黄河流域生态保护和高质量发展，协同推进降碳、减污、扩绿、增长，</w:t>
      </w:r>
      <w:r>
        <w:rPr>
          <w:rFonts w:cs="Times New Roman"/>
        </w:rPr>
        <w:t>高质量建设</w:t>
      </w:r>
      <w:r>
        <w:rPr>
          <w:rFonts w:hint="eastAsia" w:cs="Times New Roman"/>
          <w:b w:val="0"/>
          <w:bCs w:val="0"/>
          <w:lang w:eastAsia="zh-CN"/>
        </w:rPr>
        <w:t>“</w:t>
      </w:r>
      <w:r>
        <w:rPr>
          <w:rFonts w:hint="eastAsia" w:ascii="Times New Roman" w:hAnsi="Times New Roman" w:eastAsia="仿宋_GB2312" w:cs="Times New Roman"/>
          <w:b w:val="0"/>
          <w:bCs w:val="0"/>
        </w:rPr>
        <w:t>西部山水隽秀、东部碧澈贯流、全域人文荟萃、产业转型示范</w:t>
      </w:r>
      <w:r>
        <w:rPr>
          <w:rFonts w:hint="eastAsia" w:cs="Times New Roman"/>
          <w:b w:val="0"/>
          <w:bCs w:val="0"/>
          <w:lang w:eastAsia="zh-CN"/>
        </w:rPr>
        <w:t>”</w:t>
      </w:r>
      <w:r>
        <w:rPr>
          <w:rFonts w:cs="Times New Roman"/>
        </w:rPr>
        <w:t>的大美文水，奋力</w:t>
      </w:r>
      <w:r>
        <w:rPr>
          <w:rFonts w:hint="eastAsia" w:cs="Times New Roman"/>
        </w:rPr>
        <w:t>绘就人与自然和谐共生的美丽文水新画卷。</w:t>
      </w:r>
    </w:p>
    <w:p>
      <w:pPr>
        <w:pStyle w:val="5"/>
        <w:spacing w:before="156" w:after="156"/>
        <w:ind w:firstLine="643"/>
        <w:rPr>
          <w:rFonts w:cs="Times New Roman"/>
        </w:rPr>
      </w:pPr>
      <w:bookmarkStart w:id="32" w:name="_Toc9967"/>
      <w:bookmarkStart w:id="33" w:name="_Toc10746"/>
      <w:bookmarkStart w:id="34" w:name="_Toc176974233"/>
      <w:bookmarkStart w:id="35" w:name="_Toc22316"/>
      <w:bookmarkStart w:id="36" w:name="_Toc62831627"/>
      <w:bookmarkStart w:id="37" w:name="_Toc28332_WPSOffice_Level2"/>
      <w:bookmarkStart w:id="38" w:name="_Toc7636"/>
      <w:bookmarkStart w:id="39" w:name="_Toc177067086"/>
      <w:bookmarkStart w:id="40" w:name="_Toc9238"/>
      <w:bookmarkStart w:id="41" w:name="_Toc24959"/>
      <w:r>
        <w:rPr>
          <w:rFonts w:cs="Times New Roman"/>
        </w:rPr>
        <w:t>（二）规划原则</w:t>
      </w:r>
      <w:bookmarkEnd w:id="32"/>
      <w:bookmarkEnd w:id="33"/>
      <w:bookmarkEnd w:id="34"/>
      <w:bookmarkEnd w:id="35"/>
      <w:bookmarkEnd w:id="36"/>
      <w:bookmarkEnd w:id="37"/>
      <w:bookmarkEnd w:id="38"/>
      <w:bookmarkEnd w:id="39"/>
      <w:bookmarkEnd w:id="40"/>
      <w:bookmarkEnd w:id="41"/>
    </w:p>
    <w:p>
      <w:pPr>
        <w:spacing w:line="480" w:lineRule="atLeast"/>
        <w:ind w:firstLine="643"/>
        <w:rPr>
          <w:rFonts w:cs="Times New Roman"/>
        </w:rPr>
      </w:pPr>
      <w:r>
        <w:rPr>
          <w:rFonts w:hint="eastAsia" w:cs="Times New Roman"/>
          <w:b/>
          <w:bCs/>
        </w:rPr>
        <w:t>坚持生态优先、绿色发展。</w:t>
      </w:r>
      <w:r>
        <w:rPr>
          <w:rFonts w:hint="eastAsia" w:cs="Times New Roman"/>
        </w:rPr>
        <w:t>牢固树立绿水青山就是金山银山</w:t>
      </w:r>
      <w:r>
        <w:rPr>
          <w:rFonts w:hint="eastAsia" w:cs="Times New Roman"/>
          <w:lang w:eastAsia="zh-CN"/>
        </w:rPr>
        <w:t>的</w:t>
      </w:r>
      <w:r>
        <w:rPr>
          <w:rFonts w:cs="Times New Roman"/>
        </w:rPr>
        <w:t>理念，</w:t>
      </w:r>
      <w:r>
        <w:rPr>
          <w:rFonts w:hint="eastAsia" w:cs="Times New Roman"/>
        </w:rPr>
        <w:t>将绿色转型的要求融入经济社会发展全局，全方位、全领域、全地域推进绿色转型，坚定不移走生态优先、节约集约、绿色低碳高质量发展道路</w:t>
      </w:r>
      <w:r>
        <w:rPr>
          <w:rFonts w:hint="eastAsia" w:cs="Times New Roman"/>
          <w:lang w:eastAsia="zh-CN"/>
        </w:rPr>
        <w:t>，</w:t>
      </w:r>
      <w:r>
        <w:rPr>
          <w:rFonts w:hint="eastAsia" w:cs="Times New Roman"/>
        </w:rPr>
        <w:t>同步提升发展“含绿量”和生态“含金量”。</w:t>
      </w:r>
    </w:p>
    <w:p>
      <w:pPr>
        <w:spacing w:line="480" w:lineRule="atLeast"/>
        <w:ind w:firstLine="643"/>
        <w:rPr>
          <w:rFonts w:cs="Times New Roman"/>
        </w:rPr>
      </w:pPr>
      <w:r>
        <w:rPr>
          <w:rFonts w:hint="eastAsia" w:cs="Times New Roman"/>
          <w:b/>
          <w:bCs/>
        </w:rPr>
        <w:t>坚持系统观念、综合治理。</w:t>
      </w:r>
      <w:r>
        <w:rPr>
          <w:rFonts w:hint="eastAsia" w:cs="Times New Roman"/>
          <w:lang w:val="en-US" w:eastAsia="zh-CN"/>
        </w:rPr>
        <w:t>统筹</w:t>
      </w:r>
      <w:r>
        <w:rPr>
          <w:rFonts w:hint="eastAsia" w:cs="Times New Roman"/>
        </w:rPr>
        <w:t>山水林田湖草沙</w:t>
      </w:r>
      <w:r>
        <w:rPr>
          <w:rFonts w:hint="eastAsia" w:cs="Times New Roman"/>
          <w:lang w:val="en-US" w:eastAsia="zh-CN"/>
        </w:rPr>
        <w:t>系统治理</w:t>
      </w:r>
      <w:r>
        <w:rPr>
          <w:rFonts w:hint="eastAsia" w:cs="Times New Roman"/>
        </w:rPr>
        <w:t>，按照生态系统的整体性、系统性及其内在规律，统筹考虑自然生态各要素、山上山下、地上地下、岸上水里、城市农村以及流域上下游，进行整体保护、系统修复、综合治理，</w:t>
      </w:r>
      <w:r>
        <w:rPr>
          <w:rFonts w:hint="eastAsia" w:cs="Times New Roman"/>
          <w:lang w:val="en-US" w:eastAsia="zh-CN"/>
        </w:rPr>
        <w:t>提升生态系统多样性稳定性持续性</w:t>
      </w:r>
      <w:r>
        <w:rPr>
          <w:rFonts w:hint="eastAsia" w:cs="Times New Roman"/>
        </w:rPr>
        <w:t>。</w:t>
      </w:r>
    </w:p>
    <w:p>
      <w:pPr>
        <w:spacing w:line="480" w:lineRule="atLeast"/>
        <w:ind w:firstLine="643"/>
        <w:rPr>
          <w:rFonts w:cs="Times New Roman"/>
        </w:rPr>
      </w:pPr>
      <w:r>
        <w:rPr>
          <w:rFonts w:hint="eastAsia" w:cs="Times New Roman"/>
          <w:b/>
          <w:bCs/>
        </w:rPr>
        <w:t>坚持因地制宜、突出特色。</w:t>
      </w:r>
      <w:r>
        <w:rPr>
          <w:rFonts w:hint="eastAsia" w:cs="Times New Roman"/>
        </w:rPr>
        <w:t>立足于</w:t>
      </w:r>
      <w:r>
        <w:rPr>
          <w:rFonts w:hint="eastAsia" w:cs="Times New Roman"/>
          <w:lang w:eastAsia="zh-CN"/>
        </w:rPr>
        <w:t>“</w:t>
      </w:r>
      <w:r>
        <w:rPr>
          <w:rFonts w:hint="eastAsia" w:cs="Times New Roman"/>
        </w:rPr>
        <w:t>半壁山丘半壁川</w:t>
      </w:r>
      <w:r>
        <w:rPr>
          <w:rFonts w:hint="eastAsia" w:cs="Times New Roman"/>
          <w:lang w:eastAsia="zh-CN"/>
        </w:rPr>
        <w:t>”</w:t>
      </w:r>
      <w:r>
        <w:rPr>
          <w:rFonts w:hint="eastAsia" w:cs="Times New Roman"/>
        </w:rPr>
        <w:t>的自然条件，加快培育发展新质生产力，实现传统产业</w:t>
      </w:r>
      <w:r>
        <w:rPr>
          <w:rFonts w:hint="eastAsia" w:cs="Times New Roman"/>
          <w:lang w:eastAsia="zh-CN"/>
        </w:rPr>
        <w:t>“</w:t>
      </w:r>
      <w:r>
        <w:rPr>
          <w:rFonts w:hint="eastAsia" w:cs="Times New Roman"/>
        </w:rPr>
        <w:t>老树新枝</w:t>
      </w:r>
      <w:r>
        <w:rPr>
          <w:rFonts w:hint="eastAsia" w:cs="Times New Roman"/>
          <w:lang w:eastAsia="zh-CN"/>
        </w:rPr>
        <w:t>”</w:t>
      </w:r>
      <w:r>
        <w:rPr>
          <w:rFonts w:hint="eastAsia" w:cs="Times New Roman"/>
        </w:rPr>
        <w:t>、新兴产业</w:t>
      </w:r>
      <w:r>
        <w:rPr>
          <w:rFonts w:hint="eastAsia" w:cs="Times New Roman"/>
          <w:lang w:eastAsia="zh-CN"/>
        </w:rPr>
        <w:t>“</w:t>
      </w:r>
      <w:r>
        <w:rPr>
          <w:rFonts w:hint="eastAsia" w:cs="Times New Roman"/>
        </w:rPr>
        <w:t>插柳成荫</w:t>
      </w:r>
      <w:r>
        <w:rPr>
          <w:rFonts w:hint="eastAsia" w:cs="Times New Roman"/>
          <w:lang w:eastAsia="zh-CN"/>
        </w:rPr>
        <w:t>”</w:t>
      </w:r>
      <w:r>
        <w:rPr>
          <w:rFonts w:hint="eastAsia" w:cs="Times New Roman"/>
        </w:rPr>
        <w:t>，以山为骨、以水为脉、以绿为底，努力</w:t>
      </w:r>
      <w:r>
        <w:rPr>
          <w:rFonts w:hint="eastAsia" w:cs="Times New Roman"/>
          <w:lang w:val="en-US" w:eastAsia="zh-CN"/>
        </w:rPr>
        <w:t>打造</w:t>
      </w:r>
      <w:r>
        <w:rPr>
          <w:rFonts w:hint="eastAsia" w:cs="Times New Roman"/>
        </w:rPr>
        <w:t>特色鲜明、形式多样的美丽样板，以五彩缤纷的众多“小美”铸就浑然一体的</w:t>
      </w:r>
      <w:r>
        <w:rPr>
          <w:rFonts w:hint="eastAsia" w:cs="Times New Roman"/>
          <w:lang w:val="en-US" w:eastAsia="zh-CN"/>
        </w:rPr>
        <w:t>文水</w:t>
      </w:r>
      <w:r>
        <w:rPr>
          <w:rFonts w:hint="eastAsia" w:cs="Times New Roman"/>
        </w:rPr>
        <w:t>“大美”。</w:t>
      </w:r>
    </w:p>
    <w:p>
      <w:pPr>
        <w:spacing w:line="480" w:lineRule="atLeast"/>
        <w:ind w:firstLine="643"/>
        <w:rPr>
          <w:rFonts w:cs="Times New Roman"/>
          <w:color w:val="000000"/>
          <w:szCs w:val="28"/>
          <w:lang w:bidi="ar"/>
        </w:rPr>
      </w:pPr>
      <w:r>
        <w:rPr>
          <w:rFonts w:hint="eastAsia" w:cs="Times New Roman"/>
          <w:b/>
          <w:bCs/>
        </w:rPr>
        <w:t>坚持公众参与</w:t>
      </w:r>
      <w:r>
        <w:rPr>
          <w:rFonts w:hint="eastAsia" w:cs="Times New Roman"/>
          <w:b/>
          <w:bCs/>
          <w:lang w:eastAsia="zh-CN"/>
        </w:rPr>
        <w:t>、</w:t>
      </w:r>
      <w:r>
        <w:rPr>
          <w:rFonts w:hint="eastAsia" w:cs="Times New Roman"/>
          <w:b/>
          <w:bCs/>
        </w:rPr>
        <w:t>生态惠民。</w:t>
      </w:r>
      <w:r>
        <w:rPr>
          <w:rFonts w:hint="eastAsia" w:cs="Times New Roman"/>
          <w:b w:val="0"/>
          <w:bCs w:val="0"/>
          <w:lang w:val="en-US" w:eastAsia="zh-CN"/>
        </w:rPr>
        <w:t>坚持以人民为中心的发展思想，</w:t>
      </w:r>
      <w:r>
        <w:rPr>
          <w:rFonts w:hint="eastAsia" w:cs="Times New Roman"/>
        </w:rPr>
        <w:t>切实解决人民群众急难愁盼的生态环境问题，不断满足人民日益增长的优美生态环境需要，切实提升人民群众对美好生态环境的获得感、幸福感、安全感。充分调动公众的积极性、主动性、创造性，汇聚起建设美丽</w:t>
      </w:r>
      <w:r>
        <w:rPr>
          <w:rFonts w:hint="eastAsia" w:cs="Times New Roman"/>
          <w:lang w:val="en-US" w:eastAsia="zh-CN"/>
        </w:rPr>
        <w:t>文水</w:t>
      </w:r>
      <w:r>
        <w:rPr>
          <w:rFonts w:hint="eastAsia" w:cs="Times New Roman"/>
        </w:rPr>
        <w:t>的磅礴力量。</w:t>
      </w:r>
    </w:p>
    <w:p>
      <w:pPr>
        <w:pStyle w:val="5"/>
        <w:spacing w:before="156" w:after="156" w:line="240" w:lineRule="auto"/>
        <w:ind w:firstLine="643"/>
        <w:rPr>
          <w:rFonts w:cs="Times New Roman"/>
        </w:rPr>
      </w:pPr>
      <w:bookmarkStart w:id="42" w:name="_Toc176974234"/>
      <w:bookmarkStart w:id="43" w:name="_Toc18742_WPSOffice_Level2"/>
      <w:bookmarkStart w:id="44" w:name="_Toc62831628"/>
      <w:bookmarkStart w:id="45" w:name="_Toc32505"/>
      <w:bookmarkStart w:id="46" w:name="_Toc27070"/>
      <w:bookmarkStart w:id="47" w:name="_Toc32407"/>
      <w:bookmarkStart w:id="48" w:name="_Toc177067087"/>
      <w:bookmarkStart w:id="49" w:name="_Toc1268"/>
      <w:r>
        <w:rPr>
          <w:rFonts w:cs="Times New Roman"/>
        </w:rPr>
        <w:t>（三）战略定位</w:t>
      </w:r>
      <w:bookmarkEnd w:id="42"/>
      <w:bookmarkEnd w:id="43"/>
      <w:bookmarkEnd w:id="44"/>
      <w:bookmarkEnd w:id="45"/>
      <w:bookmarkEnd w:id="46"/>
      <w:bookmarkEnd w:id="47"/>
      <w:bookmarkEnd w:id="48"/>
      <w:bookmarkEnd w:id="49"/>
    </w:p>
    <w:p>
      <w:pPr>
        <w:pStyle w:val="2"/>
        <w:ind w:firstLine="640"/>
        <w:rPr>
          <w:rFonts w:cs="Times New Roman"/>
        </w:rPr>
      </w:pPr>
      <w:r>
        <w:rPr>
          <w:rFonts w:cs="Times New Roman"/>
        </w:rPr>
        <w:t>——</w:t>
      </w:r>
      <w:r>
        <w:rPr>
          <w:rFonts w:cs="Times New Roman"/>
          <w:b/>
        </w:rPr>
        <w:t>黄河流域生态保护和高质量发展排头兵。</w:t>
      </w:r>
      <w:r>
        <w:rPr>
          <w:rFonts w:cs="Times New Roman"/>
        </w:rPr>
        <w:t>以山西省黄河流域生态保护和高质量发展重要实验区建设为牵引，</w:t>
      </w:r>
      <w:r>
        <w:rPr>
          <w:rFonts w:hint="eastAsia" w:cs="Times New Roman"/>
        </w:rPr>
        <w:t>加强生态建设和环境保护，夯实</w:t>
      </w:r>
      <w:r>
        <w:rPr>
          <w:rFonts w:hint="eastAsia" w:cs="Times New Roman"/>
          <w:lang w:val="en-US" w:eastAsia="zh-CN"/>
        </w:rPr>
        <w:t>区域</w:t>
      </w:r>
      <w:r>
        <w:rPr>
          <w:rFonts w:hint="eastAsia" w:cs="Times New Roman"/>
        </w:rPr>
        <w:t>高质量发展基础</w:t>
      </w:r>
      <w:r>
        <w:rPr>
          <w:rFonts w:hint="eastAsia" w:cs="Times New Roman"/>
          <w:lang w:eastAsia="zh-CN"/>
        </w:rPr>
        <w:t>；</w:t>
      </w:r>
      <w:r>
        <w:rPr>
          <w:rFonts w:hint="eastAsia" w:cs="Times New Roman"/>
        </w:rPr>
        <w:t>培育经济重要增长极，增强</w:t>
      </w:r>
      <w:r>
        <w:rPr>
          <w:rFonts w:hint="eastAsia" w:cs="Times New Roman"/>
          <w:lang w:val="en-US" w:eastAsia="zh-CN"/>
        </w:rPr>
        <w:t>区域</w:t>
      </w:r>
      <w:r>
        <w:rPr>
          <w:rFonts w:hint="eastAsia" w:cs="Times New Roman"/>
        </w:rPr>
        <w:t>高质量发展动力</w:t>
      </w:r>
      <w:r>
        <w:rPr>
          <w:rFonts w:hint="eastAsia" w:cs="Times New Roman"/>
          <w:lang w:eastAsia="zh-CN"/>
        </w:rPr>
        <w:t>；</w:t>
      </w:r>
      <w:r>
        <w:rPr>
          <w:rFonts w:cs="Times New Roman"/>
        </w:rPr>
        <w:t>因地制宜发展新质生产力，</w:t>
      </w:r>
      <w:r>
        <w:rPr>
          <w:rFonts w:hint="eastAsia" w:cs="Times New Roman"/>
          <w:lang w:val="en-US" w:eastAsia="zh-CN"/>
        </w:rPr>
        <w:t>提升区域高质量发展活力</w:t>
      </w:r>
      <w:r>
        <w:rPr>
          <w:rFonts w:hint="eastAsia" w:cs="Times New Roman"/>
          <w:lang w:eastAsia="zh-CN"/>
        </w:rPr>
        <w:t>。</w:t>
      </w:r>
      <w:r>
        <w:rPr>
          <w:rFonts w:hint="eastAsia" w:cs="Times New Roman"/>
          <w:lang w:val="en-US" w:eastAsia="zh-CN"/>
        </w:rPr>
        <w:t>努力成为黄河流域</w:t>
      </w:r>
      <w:r>
        <w:rPr>
          <w:rFonts w:cs="Times New Roman"/>
        </w:rPr>
        <w:t>协同推进经济高质量发展和生态环境高水平保护的排头兵。</w:t>
      </w:r>
    </w:p>
    <w:p>
      <w:pPr>
        <w:pStyle w:val="3"/>
        <w:ind w:firstLine="640"/>
        <w:rPr>
          <w:rFonts w:cs="Times New Roman"/>
        </w:rPr>
      </w:pPr>
      <w:r>
        <w:rPr>
          <w:rFonts w:cs="Times New Roman"/>
        </w:rPr>
        <w:t>——</w:t>
      </w:r>
      <w:r>
        <w:rPr>
          <w:rFonts w:cs="Times New Roman"/>
          <w:b/>
        </w:rPr>
        <w:t>山西省</w:t>
      </w:r>
      <w:r>
        <w:rPr>
          <w:rFonts w:hint="eastAsia" w:cs="Times New Roman"/>
          <w:b/>
          <w:lang w:val="en-US" w:eastAsia="zh-CN"/>
        </w:rPr>
        <w:t>农业绿色转型发展</w:t>
      </w:r>
      <w:r>
        <w:rPr>
          <w:rFonts w:cs="Times New Roman"/>
          <w:b/>
        </w:rPr>
        <w:t>样板区。</w:t>
      </w:r>
      <w:r>
        <w:rPr>
          <w:rFonts w:hint="eastAsia" w:cs="Times New Roman"/>
          <w:b w:val="0"/>
          <w:bCs/>
        </w:rPr>
        <w:t>以全面推进乡村振兴、加快农业农村现代化为引领，</w:t>
      </w:r>
      <w:r>
        <w:rPr>
          <w:rFonts w:hint="eastAsia" w:cs="Times New Roman"/>
          <w:b w:val="0"/>
          <w:bCs/>
          <w:lang w:val="en-US" w:eastAsia="zh-CN"/>
        </w:rPr>
        <w:t>正确处理农业绿色发展</w:t>
      </w:r>
      <w:r>
        <w:rPr>
          <w:rFonts w:hint="eastAsia" w:cs="Times New Roman"/>
          <w:b w:val="0"/>
          <w:bCs/>
          <w:lang w:eastAsia="zh-CN"/>
        </w:rPr>
        <w:t>和</w:t>
      </w:r>
      <w:r>
        <w:rPr>
          <w:rFonts w:hint="eastAsia" w:cs="Times New Roman"/>
          <w:b w:val="0"/>
          <w:bCs/>
          <w:lang w:val="en-US" w:eastAsia="zh-CN"/>
        </w:rPr>
        <w:t>资源安全、粮食安全、农民增收的关系</w:t>
      </w:r>
      <w:r>
        <w:rPr>
          <w:rFonts w:hint="eastAsia" w:cs="Times New Roman"/>
          <w:b w:val="0"/>
          <w:bCs/>
        </w:rPr>
        <w:t>，</w:t>
      </w:r>
      <w:r>
        <w:rPr>
          <w:rFonts w:hint="eastAsia" w:cs="Times New Roman"/>
          <w:bCs/>
        </w:rPr>
        <w:t>加快农业全面绿色转型，</w:t>
      </w:r>
      <w:r>
        <w:rPr>
          <w:rFonts w:hint="eastAsia" w:cs="Times New Roman"/>
        </w:rPr>
        <w:t>推动县域农业从</w:t>
      </w:r>
      <w:r>
        <w:rPr>
          <w:rFonts w:hint="eastAsia" w:cs="Times New Roman"/>
          <w:lang w:eastAsia="zh-CN"/>
        </w:rPr>
        <w:t>“</w:t>
      </w:r>
      <w:r>
        <w:rPr>
          <w:rFonts w:hint="eastAsia" w:cs="Times New Roman"/>
        </w:rPr>
        <w:t>规模扩张</w:t>
      </w:r>
      <w:r>
        <w:rPr>
          <w:rFonts w:hint="eastAsia" w:cs="Times New Roman"/>
          <w:lang w:eastAsia="zh-CN"/>
        </w:rPr>
        <w:t>”</w:t>
      </w:r>
      <w:r>
        <w:rPr>
          <w:rFonts w:hint="eastAsia" w:cs="Times New Roman"/>
        </w:rPr>
        <w:t>向</w:t>
      </w:r>
      <w:r>
        <w:rPr>
          <w:rFonts w:hint="eastAsia" w:cs="Times New Roman"/>
          <w:lang w:eastAsia="zh-CN"/>
        </w:rPr>
        <w:t>“</w:t>
      </w:r>
      <w:r>
        <w:rPr>
          <w:rFonts w:hint="eastAsia" w:cs="Times New Roman"/>
          <w:lang w:val="en-US" w:eastAsia="zh-CN"/>
        </w:rPr>
        <w:t>提质增效</w:t>
      </w:r>
      <w:r>
        <w:rPr>
          <w:rFonts w:hint="eastAsia" w:cs="Times New Roman"/>
          <w:lang w:eastAsia="zh-CN"/>
        </w:rPr>
        <w:t>”</w:t>
      </w:r>
      <w:r>
        <w:rPr>
          <w:rFonts w:hint="eastAsia" w:cs="Times New Roman"/>
          <w:lang w:val="en-US" w:eastAsia="zh-CN"/>
        </w:rPr>
        <w:t>和“转型升级”</w:t>
      </w:r>
      <w:r>
        <w:rPr>
          <w:rFonts w:hint="eastAsia" w:cs="Times New Roman"/>
        </w:rPr>
        <w:t>转变，最终建成</w:t>
      </w:r>
      <w:r>
        <w:rPr>
          <w:rFonts w:hint="eastAsia" w:cs="Times New Roman"/>
          <w:lang w:val="en-US" w:eastAsia="zh-CN"/>
        </w:rPr>
        <w:t>农业资源利用集约化、投入品减量化、废弃物资源化、产业模式生态化</w:t>
      </w:r>
      <w:r>
        <w:rPr>
          <w:rFonts w:hint="eastAsia" w:cs="Times New Roman"/>
        </w:rPr>
        <w:t>的全省</w:t>
      </w:r>
      <w:r>
        <w:rPr>
          <w:rFonts w:hint="eastAsia" w:cs="Times New Roman"/>
          <w:lang w:val="en-US" w:eastAsia="zh-CN"/>
        </w:rPr>
        <w:t>农业绿色转型发展示范</w:t>
      </w:r>
      <w:r>
        <w:rPr>
          <w:rFonts w:hint="eastAsia" w:cs="Times New Roman"/>
        </w:rPr>
        <w:t>样板。</w:t>
      </w:r>
    </w:p>
    <w:p>
      <w:pPr>
        <w:pStyle w:val="3"/>
        <w:ind w:firstLine="640"/>
        <w:rPr>
          <w:rFonts w:cs="Times New Roman"/>
        </w:rPr>
      </w:pPr>
      <w:r>
        <w:rPr>
          <w:rFonts w:cs="Times New Roman"/>
        </w:rPr>
        <w:t>——</w:t>
      </w:r>
      <w:r>
        <w:rPr>
          <w:rFonts w:hint="eastAsia" w:cs="Times New Roman"/>
          <w:b/>
        </w:rPr>
        <w:t>太原都市圈生态优势转化新标杆。</w:t>
      </w:r>
      <w:r>
        <w:rPr>
          <w:rFonts w:hint="eastAsia" w:cs="Times New Roman"/>
        </w:rPr>
        <w:t>依托太原</w:t>
      </w:r>
      <w:r>
        <w:rPr>
          <w:rFonts w:hint="eastAsia" w:cs="Times New Roman"/>
          <w:lang w:eastAsia="zh-CN"/>
        </w:rPr>
        <w:t>“</w:t>
      </w:r>
      <w:r>
        <w:rPr>
          <w:rFonts w:cs="Times New Roman"/>
        </w:rPr>
        <w:t>1</w:t>
      </w:r>
      <w:r>
        <w:rPr>
          <w:rFonts w:hint="eastAsia" w:cs="Times New Roman"/>
        </w:rPr>
        <w:t>小时</w:t>
      </w:r>
      <w:r>
        <w:rPr>
          <w:rFonts w:hint="eastAsia" w:cs="Times New Roman"/>
          <w:lang w:eastAsia="zh-CN"/>
        </w:rPr>
        <w:t>”</w:t>
      </w:r>
      <w:r>
        <w:rPr>
          <w:rFonts w:hint="eastAsia" w:cs="Times New Roman"/>
        </w:rPr>
        <w:t>城市圈的独特区位，充分发挥文水的生态优势、红色优势、文化优势，深入践行绿水青山就是金山银山理念，大力实施山川披绿、河湖扮靓等工程，厚植绿色本底，推动生态产品价值转化实现破局，积极培育</w:t>
      </w:r>
      <w:r>
        <w:rPr>
          <w:rFonts w:hint="eastAsia" w:cs="Times New Roman"/>
          <w:lang w:eastAsia="zh-CN"/>
        </w:rPr>
        <w:t>“</w:t>
      </w:r>
      <w:r>
        <w:rPr>
          <w:rFonts w:hint="eastAsia" w:cs="Times New Roman"/>
        </w:rPr>
        <w:t>养生</w:t>
      </w:r>
      <w:r>
        <w:rPr>
          <w:rFonts w:cs="Times New Roman"/>
        </w:rPr>
        <w:t>—</w:t>
      </w:r>
      <w:r>
        <w:rPr>
          <w:rFonts w:hint="eastAsia" w:cs="Times New Roman"/>
        </w:rPr>
        <w:t>养心</w:t>
      </w:r>
      <w:r>
        <w:rPr>
          <w:rFonts w:cs="Times New Roman"/>
        </w:rPr>
        <w:t>—</w:t>
      </w:r>
      <w:r>
        <w:rPr>
          <w:rFonts w:hint="eastAsia" w:cs="Times New Roman"/>
        </w:rPr>
        <w:t>养老</w:t>
      </w:r>
      <w:r>
        <w:rPr>
          <w:rFonts w:hint="eastAsia" w:cs="Times New Roman"/>
          <w:lang w:eastAsia="zh-CN"/>
        </w:rPr>
        <w:t>”</w:t>
      </w:r>
      <w:r>
        <w:rPr>
          <w:rFonts w:hint="eastAsia" w:cs="Times New Roman"/>
        </w:rPr>
        <w:t>康养产业，着力打造太原都市圈生态旅游度假目的地。</w:t>
      </w:r>
    </w:p>
    <w:p>
      <w:pPr>
        <w:pStyle w:val="2"/>
        <w:ind w:firstLine="640"/>
        <w:rPr>
          <w:rFonts w:cs="Times New Roman"/>
        </w:rPr>
      </w:pPr>
      <w:r>
        <w:rPr>
          <w:rFonts w:cs="Times New Roman"/>
        </w:rPr>
        <w:t>——</w:t>
      </w:r>
      <w:r>
        <w:rPr>
          <w:rFonts w:hint="eastAsia" w:cs="Times New Roman"/>
          <w:b/>
        </w:rPr>
        <w:t>宜居宜业宜游美丽乡村示范县</w:t>
      </w:r>
      <w:r>
        <w:rPr>
          <w:rFonts w:hint="eastAsia" w:cs="Times New Roman"/>
        </w:rPr>
        <w:t>。</w:t>
      </w:r>
      <w:r>
        <w:rPr>
          <w:rFonts w:hint="eastAsia" w:cs="Times New Roman"/>
          <w:lang w:val="en-US" w:eastAsia="zh-CN"/>
        </w:rPr>
        <w:t>有力有序有效推广“千万工程”经验</w:t>
      </w:r>
      <w:r>
        <w:rPr>
          <w:rFonts w:hint="eastAsia" w:cs="Times New Roman"/>
        </w:rPr>
        <w:t>，</w:t>
      </w:r>
      <w:r>
        <w:rPr>
          <w:rFonts w:hint="eastAsia" w:cs="Times New Roman"/>
          <w:lang w:val="en-US" w:eastAsia="zh-CN"/>
        </w:rPr>
        <w:t>加强农村生态文明建设，</w:t>
      </w:r>
      <w:r>
        <w:rPr>
          <w:rFonts w:hint="eastAsia" w:cs="Times New Roman"/>
        </w:rPr>
        <w:t>统筹乡村生态振兴和农村人居环境整治，</w:t>
      </w:r>
      <w:r>
        <w:rPr>
          <w:rFonts w:hint="eastAsia" w:cs="Times New Roman"/>
          <w:lang w:val="en-US" w:eastAsia="zh-CN"/>
        </w:rPr>
        <w:t>加快建设村庄干净整洁、农业绿色低碳、生态环境优美的人与自然和谐共生的美丽乡村</w:t>
      </w:r>
      <w:r>
        <w:rPr>
          <w:rFonts w:hint="eastAsia" w:cs="Times New Roman"/>
        </w:rPr>
        <w:t>，</w:t>
      </w:r>
      <w:r>
        <w:rPr>
          <w:rFonts w:hint="eastAsia" w:cs="Times New Roman"/>
          <w:lang w:val="en-US" w:eastAsia="zh-CN"/>
        </w:rPr>
        <w:t>推动美丽乡村串珠成链、连线成景</w:t>
      </w:r>
      <w:r>
        <w:rPr>
          <w:rFonts w:hint="eastAsia" w:cs="Times New Roman"/>
        </w:rPr>
        <w:t>，</w:t>
      </w:r>
      <w:r>
        <w:rPr>
          <w:rFonts w:hint="eastAsia" w:cs="Times New Roman"/>
          <w:lang w:val="en-US" w:eastAsia="zh-CN"/>
        </w:rPr>
        <w:t>奋力绘就</w:t>
      </w:r>
      <w:r>
        <w:rPr>
          <w:rFonts w:hint="eastAsia" w:cs="Times New Roman"/>
          <w:lang w:eastAsia="zh-CN"/>
        </w:rPr>
        <w:t>“</w:t>
      </w:r>
      <w:r>
        <w:rPr>
          <w:rFonts w:hint="eastAsia" w:cs="Times New Roman"/>
          <w:lang w:val="en-US" w:eastAsia="zh-CN"/>
        </w:rPr>
        <w:t>山清水秀、天蓝地绿、村美人和</w:t>
      </w:r>
      <w:r>
        <w:rPr>
          <w:rFonts w:hint="eastAsia" w:cs="Times New Roman"/>
          <w:lang w:eastAsia="zh-CN"/>
        </w:rPr>
        <w:t>”</w:t>
      </w:r>
      <w:r>
        <w:rPr>
          <w:rFonts w:hint="eastAsia" w:cs="Times New Roman"/>
        </w:rPr>
        <w:t>的美丽乡村新画卷。</w:t>
      </w:r>
    </w:p>
    <w:p>
      <w:pPr>
        <w:pStyle w:val="5"/>
        <w:spacing w:before="156" w:after="156" w:line="240" w:lineRule="auto"/>
        <w:ind w:firstLine="643"/>
        <w:rPr>
          <w:rFonts w:cs="Times New Roman"/>
        </w:rPr>
      </w:pPr>
      <w:bookmarkStart w:id="50" w:name="_Toc177067088"/>
      <w:bookmarkStart w:id="51" w:name="_Toc13684"/>
      <w:bookmarkStart w:id="52" w:name="_Toc176974235"/>
      <w:bookmarkStart w:id="53" w:name="_Toc14201"/>
      <w:bookmarkStart w:id="54" w:name="_Toc62831629"/>
      <w:bookmarkStart w:id="55" w:name="_Toc6757_WPSOffice_Level2"/>
      <w:bookmarkStart w:id="56" w:name="_Toc27848"/>
      <w:bookmarkStart w:id="57" w:name="_Toc19932"/>
      <w:r>
        <w:rPr>
          <w:rFonts w:hint="eastAsia" w:cs="Times New Roman"/>
        </w:rPr>
        <w:t>（四）美丽愿景</w:t>
      </w:r>
      <w:bookmarkEnd w:id="50"/>
      <w:bookmarkEnd w:id="51"/>
      <w:bookmarkEnd w:id="52"/>
      <w:bookmarkEnd w:id="53"/>
      <w:bookmarkEnd w:id="54"/>
      <w:bookmarkEnd w:id="55"/>
      <w:bookmarkEnd w:id="56"/>
      <w:bookmarkEnd w:id="57"/>
    </w:p>
    <w:p>
      <w:pPr>
        <w:spacing w:line="480" w:lineRule="atLeast"/>
        <w:ind w:firstLine="640"/>
        <w:rPr>
          <w:rFonts w:cs="Times New Roman"/>
        </w:rPr>
      </w:pPr>
      <w:r>
        <w:rPr>
          <w:rFonts w:hint="eastAsia" w:cs="Times New Roman"/>
        </w:rPr>
        <w:t>到</w:t>
      </w:r>
      <w:r>
        <w:rPr>
          <w:rFonts w:cs="Times New Roman"/>
        </w:rPr>
        <w:t>2027</w:t>
      </w:r>
      <w:r>
        <w:rPr>
          <w:rFonts w:hint="eastAsia" w:cs="Times New Roman"/>
        </w:rPr>
        <w:t>年，经济高质量发展水平不断提高，国土空间开发保护格局得到优化，生态环境质量持续好转，主要污染物排放总量持续减少，生态系统质量和稳定性进一步提升，基础设施短板加快补齐，美丽乡村建成比例达到</w:t>
      </w:r>
      <w:r>
        <w:rPr>
          <w:rFonts w:cs="Times New Roman"/>
        </w:rPr>
        <w:t>40%</w:t>
      </w:r>
      <w:r>
        <w:rPr>
          <w:rFonts w:hint="eastAsia" w:cs="Times New Roman"/>
        </w:rPr>
        <w:t>，生产生活方式绿色转型初见成效，现代环境治理体系更加完善，美丽文水建设取得积极进展。</w:t>
      </w:r>
    </w:p>
    <w:p>
      <w:pPr>
        <w:spacing w:line="480" w:lineRule="atLeast"/>
        <w:ind w:firstLine="640"/>
        <w:rPr>
          <w:rFonts w:cs="Times New Roman"/>
        </w:rPr>
      </w:pPr>
      <w:r>
        <w:rPr>
          <w:rFonts w:hint="eastAsia" w:cs="Times New Roman"/>
        </w:rPr>
        <w:t>到</w:t>
      </w:r>
      <w:r>
        <w:rPr>
          <w:rFonts w:cs="Times New Roman"/>
        </w:rPr>
        <w:t>2035</w:t>
      </w:r>
      <w:r>
        <w:rPr>
          <w:rFonts w:hint="eastAsia" w:cs="Times New Roman"/>
        </w:rPr>
        <w:t>年，经济高质量发展和生态环境高水平保护协同推进，碳排放达峰后稳中有降，国土空间开发保护新格局全面形成，生态环境质量实现根本好转，美丽乡村基本全域建成，天蓝水美的生态空间、集约高效的生产空间、宜居适度的生活空间全面呈现，绿色低碳生产生活方式广泛形成，生态环境治理体系和治理能力现代化基本实现，美丽文水基本建成。</w:t>
      </w:r>
    </w:p>
    <w:p>
      <w:pPr>
        <w:spacing w:line="480" w:lineRule="atLeast"/>
        <w:ind w:firstLine="640"/>
        <w:rPr>
          <w:rFonts w:cs="Times New Roman"/>
        </w:rPr>
        <w:sectPr>
          <w:footerReference r:id="rId12" w:type="default"/>
          <w:pgSz w:w="11906" w:h="16838"/>
          <w:pgMar w:top="1440" w:right="1800" w:bottom="1440" w:left="1800" w:header="851" w:footer="992" w:gutter="0"/>
          <w:pgNumType w:fmt="decimal" w:start="1"/>
          <w:cols w:space="425" w:num="1"/>
          <w:docGrid w:type="lines" w:linePitch="312" w:charSpace="0"/>
        </w:sectPr>
      </w:pPr>
      <w:r>
        <w:rPr>
          <w:rFonts w:hint="eastAsia" w:cs="Times New Roman"/>
        </w:rPr>
        <w:t>展望本世纪中叶，生态文明全面提升，重点领域实现深度脱碳，生态环境健康优美，绿色低碳生产生活方式全面形成，生态环境治理体系和治理能力现代化全面实现，美丽文水全面建成。</w:t>
      </w:r>
    </w:p>
    <w:p>
      <w:pPr>
        <w:ind w:firstLine="560"/>
        <w:jc w:val="center"/>
        <w:rPr>
          <w:rFonts w:eastAsia="黑体" w:cs="Times New Roman"/>
          <w:sz w:val="28"/>
          <w:szCs w:val="20"/>
        </w:rPr>
      </w:pPr>
      <w:bookmarkStart w:id="58" w:name="_Toc16978"/>
      <w:bookmarkStart w:id="59" w:name="_Toc62831665"/>
      <w:bookmarkStart w:id="60" w:name="_Toc27190"/>
      <w:bookmarkStart w:id="61" w:name="_Toc22718"/>
      <w:bookmarkStart w:id="62" w:name="_Toc2840_WPSOffice_Level1"/>
      <w:bookmarkStart w:id="63" w:name="_Toc7686"/>
      <w:bookmarkStart w:id="64" w:name="_Toc9691"/>
      <w:bookmarkStart w:id="65" w:name="_Toc2689"/>
      <w:bookmarkStart w:id="66" w:name="_Toc12421"/>
      <w:bookmarkStart w:id="67" w:name="_Toc2788_WPSOffice_Level1"/>
      <w:bookmarkStart w:id="68" w:name="_Toc29823_WPSOffice_Level1"/>
      <w:r>
        <w:rPr>
          <w:rFonts w:hint="eastAsia" w:eastAsia="黑体" w:cs="Times New Roman"/>
          <w:sz w:val="28"/>
          <w:szCs w:val="20"/>
        </w:rPr>
        <w:t>表</w:t>
      </w:r>
      <w:r>
        <w:rPr>
          <w:rFonts w:eastAsia="黑体" w:cs="Times New Roman"/>
          <w:sz w:val="28"/>
          <w:szCs w:val="20"/>
        </w:rPr>
        <w:t xml:space="preserve">1 </w:t>
      </w:r>
      <w:r>
        <w:rPr>
          <w:rFonts w:hint="eastAsia" w:eastAsia="黑体" w:cs="Times New Roman"/>
          <w:sz w:val="28"/>
          <w:szCs w:val="20"/>
        </w:rPr>
        <w:t>美丽文水建设规划指标体系</w:t>
      </w:r>
      <w:bookmarkEnd w:id="58"/>
      <w:bookmarkEnd w:id="59"/>
      <w:bookmarkEnd w:id="60"/>
      <w:bookmarkEnd w:id="61"/>
      <w:bookmarkEnd w:id="62"/>
      <w:bookmarkEnd w:id="63"/>
      <w:bookmarkEnd w:id="64"/>
      <w:bookmarkEnd w:id="65"/>
      <w:bookmarkEnd w:id="66"/>
      <w:bookmarkEnd w:id="67"/>
      <w:bookmarkEnd w:id="68"/>
    </w:p>
    <w:tbl>
      <w:tblPr>
        <w:tblStyle w:val="3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851"/>
        <w:gridCol w:w="4537"/>
        <w:gridCol w:w="1134"/>
        <w:gridCol w:w="1701"/>
        <w:gridCol w:w="1701"/>
        <w:gridCol w:w="1843"/>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00" w:type="dxa"/>
            <w:vAlign w:val="center"/>
          </w:tcPr>
          <w:p>
            <w:pPr>
              <w:adjustRightInd w:val="0"/>
              <w:snapToGrid w:val="0"/>
              <w:spacing w:line="240" w:lineRule="auto"/>
              <w:ind w:firstLine="0" w:firstLineChars="0"/>
              <w:jc w:val="center"/>
              <w:rPr>
                <w:rFonts w:cs="Times New Roman"/>
                <w:b/>
                <w:sz w:val="28"/>
                <w:szCs w:val="30"/>
              </w:rPr>
            </w:pPr>
            <w:r>
              <w:rPr>
                <w:rFonts w:hint="eastAsia" w:cs="Times New Roman"/>
                <w:b/>
                <w:sz w:val="28"/>
                <w:szCs w:val="30"/>
              </w:rPr>
              <w:t>类别</w:t>
            </w:r>
          </w:p>
        </w:tc>
        <w:tc>
          <w:tcPr>
            <w:tcW w:w="851" w:type="dxa"/>
            <w:vAlign w:val="center"/>
          </w:tcPr>
          <w:p>
            <w:pPr>
              <w:adjustRightInd w:val="0"/>
              <w:snapToGrid w:val="0"/>
              <w:spacing w:line="240" w:lineRule="auto"/>
              <w:ind w:firstLine="0" w:firstLineChars="0"/>
              <w:jc w:val="center"/>
              <w:rPr>
                <w:rFonts w:cs="Times New Roman"/>
                <w:b/>
                <w:sz w:val="28"/>
                <w:szCs w:val="30"/>
              </w:rPr>
            </w:pPr>
            <w:r>
              <w:rPr>
                <w:rFonts w:hint="eastAsia" w:cs="Times New Roman"/>
                <w:b/>
                <w:sz w:val="28"/>
                <w:szCs w:val="30"/>
              </w:rPr>
              <w:t>序号</w:t>
            </w:r>
          </w:p>
        </w:tc>
        <w:tc>
          <w:tcPr>
            <w:tcW w:w="4537" w:type="dxa"/>
            <w:vAlign w:val="center"/>
          </w:tcPr>
          <w:p>
            <w:pPr>
              <w:adjustRightInd w:val="0"/>
              <w:snapToGrid w:val="0"/>
              <w:spacing w:line="240" w:lineRule="auto"/>
              <w:ind w:firstLine="0" w:firstLineChars="0"/>
              <w:jc w:val="center"/>
              <w:rPr>
                <w:rFonts w:cs="Times New Roman"/>
                <w:b/>
                <w:sz w:val="28"/>
                <w:szCs w:val="30"/>
              </w:rPr>
            </w:pPr>
            <w:r>
              <w:rPr>
                <w:rFonts w:hint="eastAsia" w:cs="Times New Roman"/>
                <w:b/>
                <w:sz w:val="28"/>
                <w:szCs w:val="30"/>
              </w:rPr>
              <w:t>指标</w:t>
            </w:r>
          </w:p>
        </w:tc>
        <w:tc>
          <w:tcPr>
            <w:tcW w:w="1134" w:type="dxa"/>
            <w:vAlign w:val="center"/>
          </w:tcPr>
          <w:p>
            <w:pPr>
              <w:adjustRightInd w:val="0"/>
              <w:snapToGrid w:val="0"/>
              <w:spacing w:line="240" w:lineRule="auto"/>
              <w:ind w:firstLine="0" w:firstLineChars="0"/>
              <w:jc w:val="center"/>
              <w:rPr>
                <w:rFonts w:cs="Times New Roman"/>
                <w:b/>
                <w:sz w:val="28"/>
                <w:szCs w:val="30"/>
              </w:rPr>
            </w:pPr>
            <w:r>
              <w:rPr>
                <w:rFonts w:hint="eastAsia" w:cs="Times New Roman"/>
                <w:b/>
                <w:sz w:val="28"/>
                <w:szCs w:val="30"/>
              </w:rPr>
              <w:t>计量</w:t>
            </w:r>
          </w:p>
          <w:p>
            <w:pPr>
              <w:adjustRightInd w:val="0"/>
              <w:snapToGrid w:val="0"/>
              <w:spacing w:line="240" w:lineRule="auto"/>
              <w:ind w:firstLine="0" w:firstLineChars="0"/>
              <w:jc w:val="center"/>
              <w:rPr>
                <w:rFonts w:cs="Times New Roman"/>
                <w:b/>
                <w:sz w:val="28"/>
                <w:szCs w:val="30"/>
              </w:rPr>
            </w:pPr>
            <w:r>
              <w:rPr>
                <w:rFonts w:hint="eastAsia" w:cs="Times New Roman"/>
                <w:b/>
                <w:sz w:val="28"/>
                <w:szCs w:val="30"/>
              </w:rPr>
              <w:t>单位</w:t>
            </w:r>
          </w:p>
        </w:tc>
        <w:tc>
          <w:tcPr>
            <w:tcW w:w="1701" w:type="dxa"/>
            <w:vAlign w:val="center"/>
          </w:tcPr>
          <w:p>
            <w:pPr>
              <w:adjustRightInd w:val="0"/>
              <w:snapToGrid w:val="0"/>
              <w:spacing w:line="240" w:lineRule="auto"/>
              <w:ind w:firstLine="0" w:firstLineChars="0"/>
              <w:jc w:val="center"/>
              <w:rPr>
                <w:rFonts w:cs="Times New Roman"/>
                <w:b/>
                <w:sz w:val="28"/>
                <w:szCs w:val="30"/>
              </w:rPr>
            </w:pPr>
            <w:r>
              <w:rPr>
                <w:rFonts w:cs="Times New Roman"/>
                <w:b/>
                <w:sz w:val="28"/>
                <w:szCs w:val="30"/>
              </w:rPr>
              <w:t>2023</w:t>
            </w:r>
            <w:r>
              <w:rPr>
                <w:rFonts w:hint="eastAsia" w:cs="Times New Roman"/>
                <w:b/>
                <w:sz w:val="28"/>
                <w:szCs w:val="30"/>
              </w:rPr>
              <w:t>年</w:t>
            </w:r>
          </w:p>
        </w:tc>
        <w:tc>
          <w:tcPr>
            <w:tcW w:w="1701" w:type="dxa"/>
            <w:vAlign w:val="center"/>
          </w:tcPr>
          <w:p>
            <w:pPr>
              <w:adjustRightInd w:val="0"/>
              <w:snapToGrid w:val="0"/>
              <w:spacing w:line="240" w:lineRule="auto"/>
              <w:ind w:firstLine="0" w:firstLineChars="0"/>
              <w:jc w:val="center"/>
              <w:rPr>
                <w:rFonts w:cs="Times New Roman"/>
                <w:b/>
                <w:sz w:val="28"/>
                <w:szCs w:val="30"/>
              </w:rPr>
            </w:pPr>
            <w:r>
              <w:rPr>
                <w:rFonts w:cs="Times New Roman"/>
                <w:b/>
                <w:sz w:val="28"/>
                <w:szCs w:val="30"/>
              </w:rPr>
              <w:t>2027</w:t>
            </w:r>
            <w:r>
              <w:rPr>
                <w:rFonts w:hint="eastAsia" w:cs="Times New Roman"/>
                <w:b/>
                <w:sz w:val="28"/>
                <w:szCs w:val="30"/>
              </w:rPr>
              <w:t>年</w:t>
            </w:r>
          </w:p>
        </w:tc>
        <w:tc>
          <w:tcPr>
            <w:tcW w:w="1843" w:type="dxa"/>
            <w:vAlign w:val="center"/>
          </w:tcPr>
          <w:p>
            <w:pPr>
              <w:adjustRightInd w:val="0"/>
              <w:snapToGrid w:val="0"/>
              <w:spacing w:line="240" w:lineRule="auto"/>
              <w:ind w:firstLine="0" w:firstLineChars="0"/>
              <w:jc w:val="center"/>
              <w:rPr>
                <w:rFonts w:cs="Times New Roman"/>
                <w:b/>
                <w:sz w:val="28"/>
                <w:szCs w:val="30"/>
              </w:rPr>
            </w:pPr>
            <w:r>
              <w:rPr>
                <w:rFonts w:cs="Times New Roman"/>
                <w:b/>
                <w:sz w:val="28"/>
                <w:szCs w:val="30"/>
              </w:rPr>
              <w:t>2035</w:t>
            </w:r>
            <w:r>
              <w:rPr>
                <w:rFonts w:hint="eastAsia" w:cs="Times New Roman"/>
                <w:b/>
                <w:sz w:val="28"/>
                <w:szCs w:val="30"/>
              </w:rPr>
              <w:t>年</w:t>
            </w:r>
          </w:p>
        </w:tc>
        <w:tc>
          <w:tcPr>
            <w:tcW w:w="1307" w:type="dxa"/>
            <w:vAlign w:val="center"/>
          </w:tcPr>
          <w:p>
            <w:pPr>
              <w:adjustRightInd w:val="0"/>
              <w:snapToGrid w:val="0"/>
              <w:spacing w:line="240" w:lineRule="auto"/>
              <w:ind w:firstLine="0" w:firstLineChars="0"/>
              <w:jc w:val="center"/>
              <w:rPr>
                <w:rFonts w:cs="Times New Roman"/>
                <w:b/>
                <w:sz w:val="28"/>
                <w:szCs w:val="30"/>
              </w:rPr>
            </w:pPr>
            <w:r>
              <w:rPr>
                <w:rFonts w:hint="eastAsia" w:cs="Times New Roman"/>
                <w:b/>
                <w:sz w:val="28"/>
                <w:szCs w:val="30"/>
              </w:rPr>
              <w:t>指标</w:t>
            </w:r>
          </w:p>
          <w:p>
            <w:pPr>
              <w:adjustRightInd w:val="0"/>
              <w:snapToGrid w:val="0"/>
              <w:spacing w:line="240" w:lineRule="auto"/>
              <w:ind w:firstLine="0" w:firstLineChars="0"/>
              <w:jc w:val="center"/>
              <w:rPr>
                <w:rFonts w:cs="Times New Roman"/>
                <w:b/>
                <w:sz w:val="28"/>
                <w:szCs w:val="30"/>
              </w:rPr>
            </w:pPr>
            <w:r>
              <w:rPr>
                <w:rFonts w:hint="eastAsia" w:cs="Times New Roman"/>
                <w:b/>
                <w:sz w:val="28"/>
                <w:szCs w:val="30"/>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restart"/>
            <w:vAlign w:val="center"/>
          </w:tcPr>
          <w:p>
            <w:pPr>
              <w:adjustRightInd w:val="0"/>
              <w:snapToGrid w:val="0"/>
              <w:spacing w:line="240" w:lineRule="auto"/>
              <w:ind w:firstLine="0" w:firstLineChars="0"/>
              <w:jc w:val="center"/>
              <w:rPr>
                <w:rFonts w:cs="Times New Roman"/>
                <w:b/>
                <w:sz w:val="28"/>
                <w:szCs w:val="30"/>
              </w:rPr>
            </w:pPr>
            <w:r>
              <w:rPr>
                <w:rFonts w:hint="eastAsia" w:cs="Times New Roman"/>
                <w:b/>
                <w:sz w:val="28"/>
                <w:szCs w:val="30"/>
              </w:rPr>
              <w:t>绿色发展</w:t>
            </w: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生态保护红线面积</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平方</w:t>
            </w:r>
          </w:p>
          <w:p>
            <w:pPr>
              <w:adjustRightInd w:val="0"/>
              <w:snapToGrid w:val="0"/>
              <w:spacing w:line="240" w:lineRule="auto"/>
              <w:ind w:firstLine="0" w:firstLineChars="0"/>
              <w:jc w:val="center"/>
              <w:rPr>
                <w:rFonts w:cs="Times New Roman"/>
                <w:sz w:val="28"/>
                <w:szCs w:val="30"/>
              </w:rPr>
            </w:pPr>
            <w:r>
              <w:rPr>
                <w:rFonts w:hint="eastAsia" w:cs="Times New Roman"/>
                <w:sz w:val="28"/>
                <w:szCs w:val="30"/>
              </w:rPr>
              <w:t>公里</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367.4</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367.4</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367.4</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2</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永久基本农田保护面积</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万亩</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46.44</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46.44</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46.44</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3</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单位地区生产总值能源消耗降低</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-19.88</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完成市级下达任务</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持续下降</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4</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非化石能源占一次能源消费比重</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12</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持续增长</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5</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火电平均供电标准煤耗</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克标准煤</w:t>
            </w:r>
            <w:r>
              <w:rPr>
                <w:rFonts w:cs="Times New Roman"/>
                <w:sz w:val="28"/>
                <w:szCs w:val="30"/>
              </w:rPr>
              <w:t>/</w:t>
            </w:r>
            <w:r>
              <w:rPr>
                <w:rFonts w:hint="eastAsia" w:cs="Times New Roman"/>
                <w:sz w:val="28"/>
                <w:szCs w:val="30"/>
              </w:rPr>
              <w:t>千万时</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310</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持续下降</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持续下降</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6</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万元地区生产总值用水量降幅</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8.93</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完成市级下达任务</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完成市级下达任务</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7</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再生水利用率</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40</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持续增长</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8</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一般工业固体废物综合利用率</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30.22</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持续增长</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持续增长</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9</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畜禽粪污综合利用率</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≥85</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98</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restart"/>
            <w:vAlign w:val="center"/>
          </w:tcPr>
          <w:p>
            <w:pPr>
              <w:adjustRightInd w:val="0"/>
              <w:snapToGrid w:val="0"/>
              <w:spacing w:line="240" w:lineRule="auto"/>
              <w:ind w:firstLine="0" w:firstLineChars="0"/>
              <w:jc w:val="center"/>
              <w:rPr>
                <w:rFonts w:cs="Times New Roman"/>
                <w:b/>
                <w:sz w:val="28"/>
                <w:szCs w:val="30"/>
              </w:rPr>
            </w:pPr>
            <w:r>
              <w:rPr>
                <w:rFonts w:hint="eastAsia" w:cs="Times New Roman"/>
                <w:b/>
                <w:sz w:val="28"/>
                <w:szCs w:val="30"/>
              </w:rPr>
              <w:t>生态系统</w:t>
            </w: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森林覆盖率</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34.77</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≥37.8</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39.59</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11</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水土保持率</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42.01</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持续</w:t>
            </w:r>
            <w:r>
              <w:rPr>
                <w:rFonts w:cs="Times New Roman"/>
                <w:sz w:val="28"/>
                <w:szCs w:val="30"/>
              </w:rPr>
              <w:t>增</w:t>
            </w:r>
            <w:r>
              <w:rPr>
                <w:rFonts w:hint="eastAsia" w:cs="Times New Roman"/>
                <w:sz w:val="28"/>
                <w:szCs w:val="30"/>
              </w:rPr>
              <w:t>长</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72.43</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12</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国家重点保护野生动物</w:t>
            </w:r>
            <w:r>
              <w:rPr>
                <w:rFonts w:cs="Times New Roman"/>
                <w:sz w:val="28"/>
                <w:szCs w:val="30"/>
              </w:rPr>
              <w:t>/</w:t>
            </w:r>
            <w:r>
              <w:rPr>
                <w:rFonts w:hint="eastAsia" w:cs="Times New Roman"/>
                <w:sz w:val="28"/>
                <w:szCs w:val="30"/>
              </w:rPr>
              <w:t>植物种类保护率</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85</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85</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restart"/>
            <w:vAlign w:val="center"/>
          </w:tcPr>
          <w:p>
            <w:pPr>
              <w:adjustRightInd w:val="0"/>
              <w:snapToGrid w:val="0"/>
              <w:spacing w:line="240" w:lineRule="auto"/>
              <w:ind w:firstLine="0" w:firstLineChars="0"/>
              <w:jc w:val="center"/>
              <w:rPr>
                <w:rFonts w:cs="Times New Roman"/>
                <w:b/>
                <w:sz w:val="28"/>
                <w:szCs w:val="30"/>
              </w:rPr>
            </w:pPr>
            <w:r>
              <w:rPr>
                <w:rFonts w:hint="eastAsia" w:cs="Times New Roman"/>
                <w:b/>
                <w:sz w:val="28"/>
                <w:szCs w:val="30"/>
              </w:rPr>
              <w:t>环境质量</w:t>
            </w: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13</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空气质量优良天数比例</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61.4</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完成市级下达任务</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持续改善</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14</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PM</w:t>
            </w:r>
            <w:r>
              <w:rPr>
                <w:rFonts w:cs="Times New Roman"/>
                <w:sz w:val="28"/>
                <w:szCs w:val="30"/>
                <w:vertAlign w:val="subscript"/>
              </w:rPr>
              <w:t>2.5</w:t>
            </w:r>
            <w:r>
              <w:rPr>
                <w:rFonts w:hint="eastAsia" w:cs="Times New Roman"/>
                <w:sz w:val="28"/>
                <w:szCs w:val="30"/>
              </w:rPr>
              <w:t>年平均浓度</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μg/m</w:t>
            </w:r>
            <w:r>
              <w:rPr>
                <w:rFonts w:cs="Times New Roman"/>
                <w:sz w:val="28"/>
                <w:szCs w:val="30"/>
                <w:vertAlign w:val="superscript"/>
              </w:rPr>
              <w:t>3</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4</w:t>
            </w:r>
            <w:r>
              <w:rPr>
                <w:rFonts w:hint="eastAsia" w:cs="Times New Roman"/>
                <w:sz w:val="28"/>
                <w:szCs w:val="30"/>
              </w:rPr>
              <w:t>5</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35</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w:t>
            </w:r>
            <w:r>
              <w:rPr>
                <w:rFonts w:cs="Times New Roman"/>
                <w:sz w:val="28"/>
                <w:szCs w:val="30"/>
              </w:rPr>
              <w:t>35</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15</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地表水考核断面达到或优于Ⅲ类水质比例</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33</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16</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集中式饮用水源达到或优于Ⅲ类比例</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90</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17</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受污染耕地安全利用率</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无</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完成市级下达任务</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巩固提升</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18</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重点建设用地安全利用率</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0" w:type="dxa"/>
            <w:vMerge w:val="restart"/>
            <w:vAlign w:val="center"/>
          </w:tcPr>
          <w:p>
            <w:pPr>
              <w:adjustRightInd w:val="0"/>
              <w:snapToGrid w:val="0"/>
              <w:spacing w:line="240" w:lineRule="auto"/>
              <w:ind w:firstLine="0" w:firstLineChars="0"/>
              <w:jc w:val="center"/>
              <w:rPr>
                <w:rFonts w:cs="Times New Roman"/>
                <w:b/>
                <w:sz w:val="28"/>
                <w:szCs w:val="30"/>
              </w:rPr>
            </w:pPr>
            <w:r>
              <w:rPr>
                <w:rFonts w:hint="eastAsia" w:cs="Times New Roman"/>
                <w:b/>
                <w:sz w:val="28"/>
                <w:szCs w:val="30"/>
              </w:rPr>
              <w:t>城乡系统</w:t>
            </w: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19</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城镇生活污水集中收集率</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70</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w:t>
            </w:r>
            <w:r>
              <w:rPr>
                <w:rFonts w:cs="Times New Roman"/>
                <w:sz w:val="28"/>
                <w:szCs w:val="30"/>
              </w:rPr>
              <w:t>75</w:t>
            </w:r>
            <w:r>
              <w:rPr>
                <w:rFonts w:hint="eastAsia" w:cs="Times New Roman"/>
                <w:sz w:val="28"/>
                <w:szCs w:val="30"/>
              </w:rPr>
              <w:t xml:space="preserve"> </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20</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城市公园绿地服务半径覆盖度</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85</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21</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绿色建筑占城镇新建建筑面积比例</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22</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农村生活污水治理（管控）率</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50</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实现</w:t>
            </w:r>
            <w:r>
              <w:rPr>
                <w:rFonts w:hint="eastAsia" w:cs="Times New Roman"/>
                <w:sz w:val="28"/>
                <w:szCs w:val="30"/>
                <w:lang w:eastAsia="zh-CN"/>
              </w:rPr>
              <w:t>“</w:t>
            </w:r>
            <w:r>
              <w:rPr>
                <w:rFonts w:hint="eastAsia" w:cs="Times New Roman"/>
                <w:sz w:val="28"/>
                <w:szCs w:val="30"/>
              </w:rPr>
              <w:t>三基本</w:t>
            </w:r>
            <w:r>
              <w:rPr>
                <w:rFonts w:hint="eastAsia" w:cs="Times New Roman"/>
                <w:sz w:val="28"/>
                <w:szCs w:val="30"/>
                <w:lang w:eastAsia="zh-CN"/>
              </w:rPr>
              <w:t>”</w:t>
            </w:r>
            <w:r>
              <w:rPr>
                <w:rFonts w:cs="Times New Roman"/>
                <w:sz w:val="28"/>
                <w:szCs w:val="30"/>
              </w:rPr>
              <w:t>*</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实现</w:t>
            </w:r>
            <w:r>
              <w:rPr>
                <w:rFonts w:hint="eastAsia" w:cs="Times New Roman"/>
                <w:sz w:val="28"/>
                <w:szCs w:val="30"/>
                <w:lang w:eastAsia="zh-CN"/>
              </w:rPr>
              <w:t>“</w:t>
            </w:r>
            <w:r>
              <w:rPr>
                <w:rFonts w:hint="eastAsia" w:cs="Times New Roman"/>
                <w:sz w:val="28"/>
                <w:szCs w:val="30"/>
              </w:rPr>
              <w:t>三基本</w:t>
            </w:r>
            <w:r>
              <w:rPr>
                <w:rFonts w:hint="eastAsia" w:cs="Times New Roman"/>
                <w:sz w:val="28"/>
                <w:szCs w:val="30"/>
                <w:lang w:eastAsia="zh-CN"/>
              </w:rPr>
              <w:t>”</w:t>
            </w:r>
            <w:r>
              <w:rPr>
                <w:rFonts w:cs="Times New Roman"/>
                <w:sz w:val="28"/>
                <w:szCs w:val="30"/>
              </w:rPr>
              <w:t>*</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23</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农村生活垃圾回收利用率</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持续</w:t>
            </w:r>
            <w:r>
              <w:rPr>
                <w:rFonts w:cs="Times New Roman"/>
                <w:sz w:val="28"/>
                <w:szCs w:val="30"/>
              </w:rPr>
              <w:t>增长</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持续增长</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Merge w:val="continue"/>
            <w:vAlign w:val="center"/>
          </w:tcPr>
          <w:p>
            <w:pPr>
              <w:adjustRightInd w:val="0"/>
              <w:snapToGrid w:val="0"/>
              <w:spacing w:line="240" w:lineRule="auto"/>
              <w:ind w:firstLine="0" w:firstLineChars="0"/>
              <w:jc w:val="center"/>
              <w:rPr>
                <w:rFonts w:cs="Times New Roman"/>
                <w:b/>
                <w:sz w:val="28"/>
                <w:szCs w:val="30"/>
              </w:rPr>
            </w:pP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24</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较大面积农村黑臭水体整治率</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38.57</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adjustRightInd w:val="0"/>
              <w:snapToGrid w:val="0"/>
              <w:spacing w:line="240" w:lineRule="auto"/>
              <w:ind w:firstLine="0" w:firstLineChars="0"/>
              <w:jc w:val="center"/>
              <w:rPr>
                <w:rFonts w:cs="Times New Roman"/>
                <w:b/>
                <w:sz w:val="28"/>
                <w:szCs w:val="30"/>
              </w:rPr>
            </w:pPr>
            <w:r>
              <w:rPr>
                <w:rFonts w:hint="eastAsia" w:cs="Times New Roman"/>
                <w:b/>
                <w:sz w:val="28"/>
                <w:szCs w:val="30"/>
              </w:rPr>
              <w:t>生态文化</w:t>
            </w: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25</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公众对生态环境质量满意度</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≥90</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≥90</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adjustRightInd w:val="0"/>
              <w:snapToGrid w:val="0"/>
              <w:spacing w:line="240" w:lineRule="auto"/>
              <w:ind w:firstLine="0" w:firstLineChars="0"/>
              <w:jc w:val="center"/>
              <w:rPr>
                <w:rFonts w:cs="Times New Roman"/>
                <w:b/>
                <w:sz w:val="28"/>
                <w:szCs w:val="30"/>
              </w:rPr>
            </w:pPr>
            <w:r>
              <w:rPr>
                <w:rFonts w:hint="eastAsia" w:cs="Times New Roman"/>
                <w:b/>
                <w:sz w:val="28"/>
                <w:szCs w:val="30"/>
              </w:rPr>
              <w:t>治理体系</w:t>
            </w:r>
          </w:p>
        </w:tc>
        <w:tc>
          <w:tcPr>
            <w:tcW w:w="85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26</w:t>
            </w:r>
          </w:p>
        </w:tc>
        <w:tc>
          <w:tcPr>
            <w:tcW w:w="453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排污许可证覆盖度</w:t>
            </w:r>
          </w:p>
        </w:tc>
        <w:tc>
          <w:tcPr>
            <w:tcW w:w="1134"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701"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843" w:type="dxa"/>
            <w:vAlign w:val="center"/>
          </w:tcPr>
          <w:p>
            <w:pPr>
              <w:adjustRightInd w:val="0"/>
              <w:snapToGrid w:val="0"/>
              <w:spacing w:line="240" w:lineRule="auto"/>
              <w:ind w:firstLine="0" w:firstLineChars="0"/>
              <w:jc w:val="center"/>
              <w:rPr>
                <w:rFonts w:cs="Times New Roman"/>
                <w:sz w:val="28"/>
                <w:szCs w:val="30"/>
              </w:rPr>
            </w:pPr>
            <w:r>
              <w:rPr>
                <w:rFonts w:cs="Times New Roman"/>
                <w:sz w:val="28"/>
                <w:szCs w:val="30"/>
              </w:rPr>
              <w:t>100</w:t>
            </w:r>
          </w:p>
        </w:tc>
        <w:tc>
          <w:tcPr>
            <w:tcW w:w="1307" w:type="dxa"/>
            <w:vAlign w:val="center"/>
          </w:tcPr>
          <w:p>
            <w:pPr>
              <w:adjustRightInd w:val="0"/>
              <w:snapToGrid w:val="0"/>
              <w:spacing w:line="240" w:lineRule="auto"/>
              <w:ind w:firstLine="0" w:firstLineChars="0"/>
              <w:jc w:val="center"/>
              <w:rPr>
                <w:rFonts w:cs="Times New Roman"/>
                <w:sz w:val="28"/>
                <w:szCs w:val="30"/>
              </w:rPr>
            </w:pPr>
            <w:r>
              <w:rPr>
                <w:rFonts w:hint="eastAsia" w:cs="Times New Roman"/>
                <w:sz w:val="28"/>
                <w:szCs w:val="30"/>
              </w:rPr>
              <w:t>预期性</w:t>
            </w:r>
          </w:p>
        </w:tc>
      </w:tr>
    </w:tbl>
    <w:p>
      <w:pPr>
        <w:pStyle w:val="29"/>
        <w:spacing w:before="0" w:beforeAutospacing="0" w:after="0" w:afterAutospacing="0" w:line="480" w:lineRule="atLeast"/>
        <w:ind w:firstLine="560"/>
        <w:jc w:val="both"/>
        <w:rPr>
          <w:rFonts w:ascii="Times New Roman" w:hAnsi="Times New Roman" w:eastAsia="仿宋_GB2312" w:cs="Times New Roman"/>
          <w:color w:val="000000"/>
          <w:sz w:val="28"/>
          <w:szCs w:val="28"/>
          <w:lang w:bidi="ar"/>
        </w:rPr>
      </w:pPr>
      <w:r>
        <w:rPr>
          <w:rFonts w:hint="eastAsia" w:ascii="Times New Roman" w:hAnsi="Times New Roman" w:eastAsia="仿宋_GB2312" w:cs="Times New Roman"/>
          <w:color w:val="000000"/>
          <w:sz w:val="28"/>
          <w:szCs w:val="28"/>
          <w:lang w:bidi="ar"/>
        </w:rPr>
        <w:t>注：</w:t>
      </w:r>
      <w:r>
        <w:rPr>
          <w:rFonts w:ascii="Times New Roman" w:hAnsi="Times New Roman" w:eastAsia="仿宋_GB2312" w:cs="Times New Roman"/>
          <w:color w:val="000000"/>
          <w:sz w:val="28"/>
          <w:szCs w:val="28"/>
          <w:lang w:bidi="ar"/>
        </w:rPr>
        <w:t>*</w:t>
      </w:r>
      <w:r>
        <w:rPr>
          <w:rFonts w:hint="eastAsia" w:ascii="Times New Roman" w:hAnsi="Times New Roman" w:eastAsia="仿宋_GB2312" w:cs="Times New Roman"/>
          <w:color w:val="000000"/>
          <w:sz w:val="28"/>
          <w:szCs w:val="28"/>
          <w:lang w:bidi="ar"/>
        </w:rPr>
        <w:t>基本看不到污水横流，公共空间基本没有生活污水乱倒乱排现象；基本闻不到臭味，公共空间或房前屋后基本没有黑臭水体、臭水沟、臭水坑等；基本听不到村民怨言，治理成效为多数村民群众认可。</w:t>
      </w:r>
    </w:p>
    <w:p>
      <w:pPr>
        <w:pStyle w:val="29"/>
        <w:spacing w:before="0" w:beforeAutospacing="0" w:after="0" w:afterAutospacing="0" w:line="480" w:lineRule="atLeast"/>
        <w:ind w:firstLine="560"/>
        <w:jc w:val="both"/>
        <w:rPr>
          <w:rFonts w:ascii="Times New Roman" w:hAnsi="Times New Roman" w:eastAsia="仿宋_GB2312" w:cs="Times New Roman"/>
          <w:color w:val="000000"/>
          <w:sz w:val="28"/>
          <w:szCs w:val="28"/>
          <w:lang w:bidi="ar"/>
        </w:rPr>
      </w:pPr>
    </w:p>
    <w:p>
      <w:pPr>
        <w:pStyle w:val="29"/>
        <w:spacing w:before="0" w:beforeAutospacing="0" w:after="0" w:afterAutospacing="0" w:line="480" w:lineRule="atLeast"/>
        <w:ind w:firstLine="560"/>
        <w:jc w:val="both"/>
        <w:rPr>
          <w:rFonts w:ascii="Times New Roman" w:hAnsi="Times New Roman" w:eastAsia="仿宋_GB2312" w:cs="Times New Roman"/>
          <w:color w:val="000000"/>
          <w:sz w:val="28"/>
          <w:szCs w:val="28"/>
          <w:lang w:bidi="ar"/>
        </w:rPr>
        <w:sectPr>
          <w:pgSz w:w="16838" w:h="11906" w:orient="landscape"/>
          <w:pgMar w:top="1800" w:right="1440" w:bottom="1800" w:left="1440" w:header="851" w:footer="992" w:gutter="0"/>
          <w:pgNumType w:fmt="decimal"/>
          <w:cols w:space="425" w:num="1"/>
          <w:docGrid w:type="lines" w:linePitch="312" w:charSpace="0"/>
        </w:sectPr>
      </w:pPr>
    </w:p>
    <w:p>
      <w:pPr>
        <w:pStyle w:val="4"/>
        <w:spacing w:line="240" w:lineRule="auto"/>
        <w:ind w:firstLine="640"/>
        <w:jc w:val="left"/>
        <w:rPr>
          <w:rFonts w:cs="Times New Roman"/>
        </w:rPr>
      </w:pPr>
      <w:bookmarkStart w:id="69" w:name="_Toc31155"/>
      <w:bookmarkStart w:id="70" w:name="_Toc4634"/>
      <w:bookmarkStart w:id="71" w:name="_Toc24743"/>
      <w:bookmarkStart w:id="72" w:name="_Toc177067089"/>
      <w:bookmarkStart w:id="73" w:name="_Toc176974236"/>
      <w:bookmarkStart w:id="74" w:name="_Toc45134757"/>
      <w:bookmarkStart w:id="75" w:name="_Toc3709_WPSOffice_Level1"/>
      <w:bookmarkStart w:id="76" w:name="_Toc14882"/>
      <w:bookmarkStart w:id="77" w:name="_Toc62831630"/>
      <w:bookmarkStart w:id="78" w:name="_Toc13546"/>
      <w:r>
        <w:rPr>
          <w:rFonts w:hint="eastAsia" w:cs="Times New Roman"/>
          <w:lang w:val="en-US" w:eastAsia="zh-CN"/>
        </w:rPr>
        <w:t>二</w:t>
      </w:r>
      <w:r>
        <w:rPr>
          <w:rFonts w:hint="eastAsia" w:cs="Times New Roman"/>
        </w:rPr>
        <w:t>、加快发展方式绿色转型，壮大</w:t>
      </w:r>
      <w:r>
        <w:rPr>
          <w:rFonts w:hint="eastAsia" w:cs="Times New Roman"/>
          <w:lang w:eastAsia="zh-CN"/>
        </w:rPr>
        <w:t>“</w:t>
      </w:r>
      <w:r>
        <w:rPr>
          <w:rFonts w:hint="eastAsia" w:cs="Times New Roman"/>
        </w:rPr>
        <w:t>绿色低碳、循环高效</w:t>
      </w:r>
      <w:r>
        <w:rPr>
          <w:rFonts w:hint="eastAsia" w:cs="Times New Roman"/>
          <w:lang w:eastAsia="zh-CN"/>
        </w:rPr>
        <w:t>”</w:t>
      </w:r>
      <w:r>
        <w:rPr>
          <w:rFonts w:hint="eastAsia" w:cs="Times New Roman"/>
        </w:rPr>
        <w:t>的生态经济</w:t>
      </w:r>
      <w:bookmarkEnd w:id="69"/>
      <w:bookmarkEnd w:id="70"/>
      <w:bookmarkEnd w:id="71"/>
      <w:bookmarkEnd w:id="72"/>
      <w:bookmarkEnd w:id="73"/>
    </w:p>
    <w:p>
      <w:pPr>
        <w:pStyle w:val="5"/>
        <w:spacing w:before="156" w:after="156" w:line="240" w:lineRule="auto"/>
        <w:ind w:firstLine="643"/>
        <w:rPr>
          <w:rFonts w:cs="Times New Roman"/>
        </w:rPr>
      </w:pPr>
      <w:bookmarkStart w:id="79" w:name="_Toc176974237"/>
      <w:bookmarkStart w:id="80" w:name="_Toc25062"/>
      <w:bookmarkStart w:id="81" w:name="_Toc25363"/>
      <w:bookmarkStart w:id="82" w:name="_Toc177067090"/>
      <w:bookmarkStart w:id="83" w:name="_Toc25560"/>
      <w:bookmarkStart w:id="84" w:name="_Toc175895964"/>
      <w:r>
        <w:rPr>
          <w:rFonts w:cs="Times New Roman"/>
        </w:rPr>
        <w:t>（一）优化国土空间开发保护格局</w:t>
      </w:r>
      <w:bookmarkEnd w:id="79"/>
      <w:bookmarkEnd w:id="80"/>
      <w:bookmarkEnd w:id="81"/>
      <w:bookmarkEnd w:id="82"/>
      <w:bookmarkEnd w:id="83"/>
    </w:p>
    <w:p>
      <w:pPr>
        <w:adjustRightInd w:val="0"/>
        <w:snapToGrid w:val="0"/>
        <w:spacing w:line="580" w:lineRule="exact"/>
        <w:ind w:firstLine="643"/>
        <w:rPr>
          <w:rFonts w:eastAsia="楷体" w:cs="Times New Roman"/>
          <w:bCs/>
        </w:rPr>
      </w:pPr>
      <w:r>
        <w:rPr>
          <w:rFonts w:hint="eastAsia" w:cs="Times New Roman"/>
          <w:b/>
          <w:bCs/>
        </w:rPr>
        <w:t>强化空间规划与管控。</w:t>
      </w:r>
      <w:r>
        <w:rPr>
          <w:rFonts w:hint="eastAsia" w:cs="Times New Roman"/>
          <w:bCs/>
        </w:rPr>
        <w:t>全面落实国土空间总体规划，统筹优化生态、农业、城镇等功能空间布局，严守生态保护红线、永久基本农田、城镇开发边界三条控制线，实现发展战略与空间基底有机统一、空间战略与要素配置有效衔接。健全国土空间开发保护制度，建立和实施常态化国土动态监测评估预警和监管机制。健全全域覆盖的生态环境分区管控体系，把环境管控单元及生态环境准入清单作为区域内资源开发、产业布局和结构调整、城镇建设、重大项目选址的重要依据，为发展</w:t>
      </w:r>
      <w:r>
        <w:rPr>
          <w:rFonts w:hint="eastAsia" w:cs="Times New Roman"/>
          <w:bCs/>
          <w:lang w:eastAsia="zh-CN"/>
        </w:rPr>
        <w:t>“</w:t>
      </w:r>
      <w:r>
        <w:rPr>
          <w:rFonts w:cs="Times New Roman"/>
          <w:bCs/>
        </w:rPr>
        <w:t>明底线</w:t>
      </w:r>
      <w:r>
        <w:rPr>
          <w:rFonts w:hint="eastAsia" w:cs="Times New Roman"/>
          <w:bCs/>
          <w:lang w:eastAsia="zh-CN"/>
        </w:rPr>
        <w:t>”“</w:t>
      </w:r>
      <w:r>
        <w:rPr>
          <w:rFonts w:cs="Times New Roman"/>
          <w:bCs/>
        </w:rPr>
        <w:t>划边框</w:t>
      </w:r>
      <w:r>
        <w:rPr>
          <w:rFonts w:hint="eastAsia" w:cs="Times New Roman"/>
          <w:bCs/>
          <w:lang w:eastAsia="zh-CN"/>
        </w:rPr>
        <w:t>”</w:t>
      </w:r>
      <w:r>
        <w:rPr>
          <w:rFonts w:cs="Times New Roman"/>
          <w:bCs/>
        </w:rPr>
        <w:t>。到2035年，全面形成主体功能明显、优势互补、高质量发展的国土空间开发保护新格局。</w:t>
      </w:r>
      <w:r>
        <w:rPr>
          <w:rFonts w:hint="eastAsia" w:eastAsia="楷体" w:cs="Times New Roman"/>
          <w:bCs/>
        </w:rPr>
        <w:t>（县自然资源局、市生态环境局文水分局、县农业农村局）</w:t>
      </w:r>
    </w:p>
    <w:p>
      <w:pPr>
        <w:pStyle w:val="5"/>
        <w:spacing w:before="156" w:after="156" w:line="240" w:lineRule="auto"/>
        <w:ind w:firstLine="643"/>
        <w:rPr>
          <w:rFonts w:cs="Times New Roman"/>
        </w:rPr>
      </w:pPr>
      <w:bookmarkStart w:id="85" w:name="_Toc176974238"/>
      <w:bookmarkStart w:id="86" w:name="_Toc24880"/>
      <w:bookmarkStart w:id="87" w:name="_Toc16355"/>
      <w:bookmarkStart w:id="88" w:name="_Toc31787"/>
      <w:bookmarkStart w:id="89" w:name="_Toc177067091"/>
      <w:r>
        <w:rPr>
          <w:rFonts w:cs="Times New Roman"/>
        </w:rPr>
        <w:t>（二）统筹推进工业绿色低碳发展</w:t>
      </w:r>
      <w:bookmarkEnd w:id="84"/>
      <w:bookmarkEnd w:id="85"/>
      <w:bookmarkEnd w:id="86"/>
      <w:bookmarkEnd w:id="87"/>
      <w:bookmarkEnd w:id="88"/>
      <w:bookmarkEnd w:id="89"/>
    </w:p>
    <w:p>
      <w:pPr>
        <w:adjustRightInd w:val="0"/>
        <w:snapToGrid w:val="0"/>
        <w:spacing w:before="120" w:after="120" w:line="580" w:lineRule="exact"/>
        <w:ind w:firstLine="643"/>
        <w:rPr>
          <w:rFonts w:eastAsia="楷体" w:cs="Times New Roman"/>
          <w:bCs/>
        </w:rPr>
      </w:pPr>
      <w:r>
        <w:rPr>
          <w:rFonts w:hint="eastAsia" w:cs="Times New Roman"/>
          <w:b/>
          <w:bCs/>
          <w:lang w:val="en-US" w:eastAsia="zh-CN"/>
        </w:rPr>
        <w:t>积极</w:t>
      </w:r>
      <w:r>
        <w:rPr>
          <w:rFonts w:hint="eastAsia" w:cs="Times New Roman"/>
          <w:b/>
          <w:bCs/>
        </w:rPr>
        <w:t>稳妥推进碳达峰碳中和。</w:t>
      </w:r>
      <w:r>
        <w:rPr>
          <w:rFonts w:hint="eastAsia" w:cs="Times New Roman"/>
        </w:rPr>
        <w:t>实施</w:t>
      </w:r>
      <w:r>
        <w:rPr>
          <w:rFonts w:hint="eastAsia" w:cs="Times New Roman"/>
          <w:lang w:eastAsia="zh-CN"/>
        </w:rPr>
        <w:t>“</w:t>
      </w:r>
      <w:r>
        <w:rPr>
          <w:rFonts w:cs="Times New Roman"/>
        </w:rPr>
        <w:t>可再生能源+采煤沉陷区</w:t>
      </w:r>
      <w:r>
        <w:rPr>
          <w:rFonts w:hint="eastAsia" w:cs="Times New Roman"/>
          <w:lang w:eastAsia="zh-CN"/>
        </w:rPr>
        <w:t>”</w:t>
      </w:r>
      <w:r>
        <w:rPr>
          <w:rFonts w:cs="Times New Roman"/>
        </w:rPr>
        <w:t>等综合治理，因地制宜推进分布式光伏发电项目，提升风电、光伏装机规模，不断提高非化石能源消费比重。</w:t>
      </w:r>
      <w:r>
        <w:rPr>
          <w:rFonts w:hint="eastAsia" w:cs="Times New Roman"/>
        </w:rPr>
        <w:t>实施能源消耗总量和强度</w:t>
      </w:r>
      <w:r>
        <w:rPr>
          <w:rFonts w:hint="eastAsia" w:cs="Times New Roman"/>
          <w:lang w:eastAsia="zh-CN"/>
        </w:rPr>
        <w:t>“</w:t>
      </w:r>
      <w:r>
        <w:rPr>
          <w:rFonts w:hint="eastAsia" w:cs="Times New Roman"/>
        </w:rPr>
        <w:t>双控</w:t>
      </w:r>
      <w:r>
        <w:rPr>
          <w:rFonts w:hint="eastAsia" w:cs="Times New Roman"/>
          <w:lang w:eastAsia="zh-CN"/>
        </w:rPr>
        <w:t>”</w:t>
      </w:r>
      <w:r>
        <w:rPr>
          <w:rFonts w:hint="eastAsia" w:cs="Times New Roman"/>
        </w:rPr>
        <w:t>工程，严控煤炭消费增量，实施钢铁控煤行动、化工控煤行动、建材控煤行动。统筹整合焦化、钢铁、水泥等高耗能企业的余热余压资源和区域用能需求，开展能源梯级利用。</w:t>
      </w:r>
      <w:r>
        <w:rPr>
          <w:rFonts w:hint="eastAsia" w:cs="Times New Roman"/>
          <w:lang w:val="en-US" w:eastAsia="zh-CN"/>
        </w:rPr>
        <w:t>探索</w:t>
      </w:r>
      <w:r>
        <w:rPr>
          <w:rFonts w:hint="eastAsia" w:cs="Times New Roman"/>
        </w:rPr>
        <w:t>逐年编制温室气体清单，实施甲烷等非二氧化碳温室气体控排行动。积极参与国家碳排放配合市场调节和抵消机制，鼓励开展温室气体自愿减排。到</w:t>
      </w:r>
      <w:r>
        <w:rPr>
          <w:rFonts w:cs="Times New Roman"/>
        </w:rPr>
        <w:t>2030</w:t>
      </w:r>
      <w:r>
        <w:rPr>
          <w:rFonts w:hint="eastAsia" w:cs="Times New Roman"/>
        </w:rPr>
        <w:t>年，二氧化碳排放量力争达到峰值，为</w:t>
      </w:r>
      <w:r>
        <w:rPr>
          <w:rFonts w:cs="Times New Roman"/>
        </w:rPr>
        <w:t>2060</w:t>
      </w:r>
      <w:r>
        <w:rPr>
          <w:rFonts w:hint="eastAsia" w:cs="Times New Roman"/>
        </w:rPr>
        <w:t>年奋力实现碳中和目标奠定基础。</w:t>
      </w:r>
      <w:r>
        <w:rPr>
          <w:rFonts w:hint="eastAsia" w:eastAsia="楷体" w:cs="Times New Roman"/>
          <w:bCs/>
        </w:rPr>
        <w:t>（县发改局、县能源局、市生态环境局文水分局）</w:t>
      </w:r>
    </w:p>
    <w:p>
      <w:pPr>
        <w:adjustRightInd w:val="0"/>
        <w:snapToGrid w:val="0"/>
        <w:spacing w:line="580" w:lineRule="exact"/>
        <w:ind w:firstLine="643"/>
        <w:rPr>
          <w:rFonts w:eastAsia="楷体" w:cs="Times New Roman"/>
        </w:rPr>
      </w:pPr>
      <w:r>
        <w:rPr>
          <w:rFonts w:cs="Times New Roman"/>
          <w:b/>
          <w:bCs/>
        </w:rPr>
        <w:t>改造提升传统优势产业。</w:t>
      </w:r>
      <w:r>
        <w:rPr>
          <w:rFonts w:cs="Times New Roman"/>
        </w:rPr>
        <w:t>坚决遏制高耗能、</w:t>
      </w:r>
      <w:r>
        <w:rPr>
          <w:rFonts w:hint="eastAsia" w:cs="Times New Roman"/>
        </w:rPr>
        <w:t>高排放、低水平项目盲目发展，严禁新增钢铁、焦化、炼油、电解铝、水泥、平板玻璃（不含光伏玻璃）等产能</w:t>
      </w:r>
      <w:r>
        <w:rPr>
          <w:rFonts w:hint="eastAsia" w:cs="Times New Roman"/>
          <w:bCs/>
        </w:rPr>
        <w:t>。对标</w:t>
      </w:r>
      <w:r>
        <w:rPr>
          <w:rFonts w:hint="eastAsia" w:cs="Times New Roman"/>
          <w:bCs/>
          <w:lang w:eastAsia="zh-CN"/>
        </w:rPr>
        <w:t>“</w:t>
      </w:r>
      <w:r>
        <w:rPr>
          <w:rFonts w:hint="eastAsia" w:cs="Times New Roman"/>
          <w:bCs/>
        </w:rPr>
        <w:t>生存线</w:t>
      </w:r>
      <w:r>
        <w:rPr>
          <w:rFonts w:hint="eastAsia" w:cs="Times New Roman"/>
          <w:bCs/>
          <w:lang w:eastAsia="zh-CN"/>
        </w:rPr>
        <w:t>”“</w:t>
      </w:r>
      <w:r>
        <w:rPr>
          <w:rFonts w:hint="eastAsia" w:cs="Times New Roman"/>
          <w:bCs/>
        </w:rPr>
        <w:t>发展线</w:t>
      </w:r>
      <w:r>
        <w:rPr>
          <w:rFonts w:hint="eastAsia" w:cs="Times New Roman"/>
          <w:bCs/>
          <w:lang w:eastAsia="zh-CN"/>
        </w:rPr>
        <w:t>”</w:t>
      </w:r>
      <w:r>
        <w:rPr>
          <w:rFonts w:hint="eastAsia" w:cs="Times New Roman"/>
          <w:bCs/>
        </w:rPr>
        <w:t>，以资源高效和循环利</w:t>
      </w:r>
      <w:r>
        <w:rPr>
          <w:rFonts w:hint="eastAsia" w:cs="Times New Roman"/>
        </w:rPr>
        <w:t>用为重点，以清洁生产和节能减排为突破口，推动煤焦、铸造、化工、建材等传统优势产业改造升级，提升先进产能占比。以重点企业提档升级为核心，提高技术含量和产品附加值，推动产业链向高端延伸突破。不断加强工业园区基础设施和配套设施建设，加快推动现有企业入园。积极培育绿色产品、绿色工厂、绿色园区、绿色产业链，构建高效、清洁、低碳、环保的绿色制造体系。到</w:t>
      </w:r>
      <w:r>
        <w:rPr>
          <w:rFonts w:cs="Times New Roman"/>
        </w:rPr>
        <w:t>2027</w:t>
      </w:r>
      <w:r>
        <w:rPr>
          <w:rFonts w:hint="eastAsia" w:cs="Times New Roman"/>
        </w:rPr>
        <w:t>年，传统优势产业高端化、智能化、绿色化、融合化发展水平明显提升。</w:t>
      </w:r>
      <w:r>
        <w:rPr>
          <w:rFonts w:hint="eastAsia" w:eastAsia="楷体" w:cs="Times New Roman"/>
        </w:rPr>
        <w:t>（文水经济开发区管委会</w:t>
      </w:r>
      <w:r>
        <w:rPr>
          <w:rFonts w:hint="eastAsia" w:eastAsia="楷体" w:cs="Times New Roman"/>
          <w:lang w:eastAsia="zh-CN"/>
        </w:rPr>
        <w:t>、</w:t>
      </w:r>
      <w:r>
        <w:rPr>
          <w:rFonts w:hint="eastAsia" w:eastAsia="楷体" w:cs="Times New Roman"/>
        </w:rPr>
        <w:t>县发改局、县工科局、县能源局、县行政审批局）</w:t>
      </w:r>
    </w:p>
    <w:p>
      <w:pPr>
        <w:adjustRightInd w:val="0"/>
        <w:snapToGrid w:val="0"/>
        <w:spacing w:line="580" w:lineRule="exact"/>
        <w:ind w:firstLine="643"/>
        <w:rPr>
          <w:rFonts w:cs="Times New Roman"/>
        </w:rPr>
      </w:pPr>
      <w:r>
        <w:rPr>
          <w:rFonts w:cs="Times New Roman"/>
          <w:b/>
          <w:bCs/>
        </w:rPr>
        <w:t>培育壮大战略新兴产业。</w:t>
      </w:r>
      <w:r>
        <w:rPr>
          <w:rFonts w:cs="Times New Roman"/>
        </w:rPr>
        <w:t>围绕</w:t>
      </w:r>
      <w:r>
        <w:rPr>
          <w:rFonts w:hint="eastAsia" w:cs="Times New Roman"/>
          <w:lang w:eastAsia="zh-CN"/>
        </w:rPr>
        <w:t>“</w:t>
      </w:r>
      <w:r>
        <w:rPr>
          <w:rFonts w:hint="eastAsia" w:cs="Times New Roman"/>
        </w:rPr>
        <w:t>有中生新</w:t>
      </w:r>
      <w:r>
        <w:rPr>
          <w:rFonts w:hint="eastAsia" w:cs="Times New Roman"/>
          <w:lang w:eastAsia="zh-CN"/>
        </w:rPr>
        <w:t>”</w:t>
      </w:r>
      <w:r>
        <w:rPr>
          <w:rFonts w:hint="eastAsia" w:cs="Times New Roman"/>
        </w:rPr>
        <w:t>和</w:t>
      </w:r>
      <w:r>
        <w:rPr>
          <w:rFonts w:hint="eastAsia" w:cs="Times New Roman"/>
          <w:lang w:eastAsia="zh-CN"/>
        </w:rPr>
        <w:t>“</w:t>
      </w:r>
      <w:r>
        <w:rPr>
          <w:rFonts w:hint="eastAsia" w:cs="Times New Roman"/>
        </w:rPr>
        <w:t>无中生有</w:t>
      </w:r>
      <w:r>
        <w:rPr>
          <w:rFonts w:hint="eastAsia" w:cs="Times New Roman"/>
          <w:lang w:eastAsia="zh-CN"/>
        </w:rPr>
        <w:t>”</w:t>
      </w:r>
      <w:r>
        <w:rPr>
          <w:rFonts w:cs="Times New Roman"/>
        </w:rPr>
        <w:t>两大路径，聚焦特钢新材料、优质白酒、先进制造、碳基新材料、生物医药健康、现代服务业六大产业领域，实现传统与优势产业转型发展。加强钢铁行业关键核心技术攻关，推动钢铁业向特钢方向发展。以清香型白酒为主打，高标准建设20</w:t>
      </w:r>
      <w:r>
        <w:rPr>
          <w:rFonts w:hint="eastAsia" w:cs="Times New Roman"/>
        </w:rPr>
        <w:t>万吨全国清香型优质基酒生产基地，推进白酒产业集群集约发展。依托钢铁、焦化等传统产业基础，大力发展智能煤机、</w:t>
      </w:r>
      <w:r>
        <w:rPr>
          <w:rFonts w:cs="Times New Roman"/>
        </w:rPr>
        <w:t>5G</w:t>
      </w:r>
      <w:r>
        <w:rPr>
          <w:rFonts w:hint="eastAsia" w:cs="Times New Roman"/>
        </w:rPr>
        <w:t>塔架等现代装备制造。依托山西金地煤焦、鑫海化工、金源煤化、盛达威等优势企业，延伸煤焦油、酚油、焦化苯深加工产业链，发展高附加值碳基新材料。鼓励生物医药等未来产业的发展。到</w:t>
      </w:r>
      <w:r>
        <w:rPr>
          <w:rFonts w:cs="Times New Roman"/>
        </w:rPr>
        <w:t>2035</w:t>
      </w:r>
      <w:r>
        <w:rPr>
          <w:rFonts w:hint="eastAsia" w:cs="Times New Roman"/>
        </w:rPr>
        <w:t>年，绿色低碳的产业结构广泛形成。</w:t>
      </w:r>
      <w:r>
        <w:rPr>
          <w:rFonts w:hint="eastAsia" w:eastAsia="楷体" w:cs="Times New Roman"/>
        </w:rPr>
        <w:t>（文水经济开发区管委会</w:t>
      </w:r>
      <w:r>
        <w:rPr>
          <w:rFonts w:hint="eastAsia" w:eastAsia="楷体" w:cs="Times New Roman"/>
          <w:lang w:eastAsia="zh-CN"/>
        </w:rPr>
        <w:t>、</w:t>
      </w:r>
      <w:r>
        <w:rPr>
          <w:rFonts w:hint="eastAsia" w:eastAsia="楷体" w:cs="Times New Roman"/>
        </w:rPr>
        <w:t>县发改局、县工科局）</w:t>
      </w:r>
    </w:p>
    <w:p>
      <w:pPr>
        <w:pStyle w:val="5"/>
        <w:spacing w:before="156" w:after="156" w:line="240" w:lineRule="auto"/>
        <w:ind w:firstLine="643"/>
        <w:rPr>
          <w:rFonts w:cs="Times New Roman"/>
        </w:rPr>
      </w:pPr>
      <w:bookmarkStart w:id="90" w:name="_Toc177067092"/>
      <w:bookmarkStart w:id="91" w:name="_Toc8112"/>
      <w:bookmarkStart w:id="92" w:name="_Toc2848"/>
      <w:bookmarkStart w:id="93" w:name="_Toc17065"/>
      <w:bookmarkStart w:id="94" w:name="_Toc175895965"/>
      <w:bookmarkStart w:id="95" w:name="_Toc176974239"/>
      <w:r>
        <w:rPr>
          <w:rFonts w:cs="Times New Roman"/>
        </w:rPr>
        <w:t>（三）大力发展环境友好生态农业</w:t>
      </w:r>
      <w:bookmarkEnd w:id="90"/>
      <w:bookmarkEnd w:id="91"/>
      <w:bookmarkEnd w:id="92"/>
      <w:bookmarkEnd w:id="93"/>
      <w:bookmarkEnd w:id="94"/>
      <w:bookmarkEnd w:id="95"/>
    </w:p>
    <w:p>
      <w:pPr>
        <w:adjustRightInd w:val="0"/>
        <w:snapToGrid w:val="0"/>
        <w:spacing w:line="580" w:lineRule="exact"/>
        <w:ind w:firstLine="643"/>
        <w:rPr>
          <w:rFonts w:cs="Times New Roman"/>
        </w:rPr>
      </w:pPr>
      <w:r>
        <w:rPr>
          <w:rFonts w:hint="eastAsia" w:cs="Times New Roman"/>
          <w:b/>
          <w:bCs/>
        </w:rPr>
        <w:t>优化农业产业布局。</w:t>
      </w:r>
      <w:r>
        <w:rPr>
          <w:rFonts w:hint="eastAsia" w:cs="Times New Roman"/>
        </w:rPr>
        <w:t>提质建设</w:t>
      </w:r>
      <w:r>
        <w:rPr>
          <w:rFonts w:hint="eastAsia" w:cs="Times New Roman"/>
          <w:lang w:eastAsia="zh-CN"/>
        </w:rPr>
        <w:t>“</w:t>
      </w:r>
      <w:r>
        <w:rPr>
          <w:rFonts w:hint="eastAsia" w:cs="Times New Roman"/>
        </w:rPr>
        <w:t>十大农业产业园区</w:t>
      </w:r>
      <w:r>
        <w:rPr>
          <w:rFonts w:hint="eastAsia" w:cs="Times New Roman"/>
          <w:lang w:eastAsia="zh-CN"/>
        </w:rPr>
        <w:t>”</w:t>
      </w:r>
      <w:r>
        <w:rPr>
          <w:rFonts w:hint="eastAsia" w:cs="Times New Roman"/>
        </w:rPr>
        <w:t>，依托畜禽肉品、沙棘、梨果等特色优势，集聚资源要素，重点打造刘胡兰镇肉牛产业园、南安镇梨果产业园，形成品牌效应、规模效应。积极推动创建省级、国家级现代农业产业园，形成梯形发展的格局。持续优化粮食种植结构，重点打造绿色有机旱作高产高效示范区、青贮玉米种植示范区、专用酿酒原料种植示范基地。综合推进刘胡兰、南武、西城、北张等</w:t>
      </w:r>
      <w:r>
        <w:rPr>
          <w:rFonts w:cs="Times New Roman"/>
        </w:rPr>
        <w:t>10</w:t>
      </w:r>
      <w:r>
        <w:rPr>
          <w:rFonts w:hint="eastAsia" w:cs="Times New Roman"/>
        </w:rPr>
        <w:t>个乡镇高标准农田建设，探索开展绿色农田建设示范。加快西槽头乡盐碱地治理，形成全县现代农业连片样板区。</w:t>
      </w:r>
      <w:r>
        <w:rPr>
          <w:rFonts w:hint="eastAsia" w:eastAsia="楷体" w:cs="Times New Roman"/>
        </w:rPr>
        <w:t>（县农业农村局）</w:t>
      </w:r>
    </w:p>
    <w:p>
      <w:pPr>
        <w:ind w:firstLine="643"/>
        <w:rPr>
          <w:rFonts w:eastAsia="楷体" w:cs="Times New Roman"/>
        </w:rPr>
      </w:pPr>
      <w:r>
        <w:rPr>
          <w:rFonts w:cs="Times New Roman"/>
          <w:b/>
        </w:rPr>
        <w:t>加快</w:t>
      </w:r>
      <w:r>
        <w:rPr>
          <w:rFonts w:hint="eastAsia" w:cs="Times New Roman"/>
          <w:b/>
          <w:lang w:val="en-US" w:eastAsia="zh-CN"/>
        </w:rPr>
        <w:t>提升</w:t>
      </w:r>
      <w:r>
        <w:rPr>
          <w:rFonts w:cs="Times New Roman"/>
          <w:b/>
        </w:rPr>
        <w:t>畜禽</w:t>
      </w:r>
      <w:r>
        <w:rPr>
          <w:rFonts w:hint="eastAsia" w:cs="Times New Roman"/>
          <w:b/>
          <w:lang w:val="en-US" w:eastAsia="zh-CN"/>
        </w:rPr>
        <w:t>养殖规范化水平</w:t>
      </w:r>
      <w:r>
        <w:rPr>
          <w:rFonts w:cs="Times New Roman"/>
          <w:b/>
        </w:rPr>
        <w:t>。</w:t>
      </w:r>
      <w:r>
        <w:rPr>
          <w:rFonts w:hint="eastAsia" w:cs="Times New Roman"/>
        </w:rPr>
        <w:t>坚持以地定畜、以种定养，根据畜禽粪污土地承载力确定畜禽养殖规模，促使种养业在布局上相协调、在规模上相匹配。充分考虑农户实际及生产生活习惯，科学引导超过土地承载能力的地区和规模养殖场逐步调减养殖总量，向粮食主产区和环境容量大的地区转移。聚焦刘胡兰、南安、南庄等养殖大镇，积极探索利用废弃地和荒山、荒沟、荒丘、荒滩等未利用地开展标准化规模养殖，建立集检验检疫、种畜研发繁育、人畜分离养殖示范、技术培训等功能为一体的标准化养殖园区，逐步引导养殖户通过自养、合养等方式在园内集中养殖。到</w:t>
      </w:r>
      <w:r>
        <w:rPr>
          <w:rFonts w:cs="Times New Roman"/>
        </w:rPr>
        <w:t>2030</w:t>
      </w:r>
      <w:r>
        <w:rPr>
          <w:rFonts w:hint="eastAsia" w:cs="Times New Roman"/>
        </w:rPr>
        <w:t>年，畜牧养殖规模化率力争达到</w:t>
      </w:r>
      <w:r>
        <w:rPr>
          <w:rFonts w:cs="Times New Roman"/>
        </w:rPr>
        <w:t>83%</w:t>
      </w:r>
      <w:r>
        <w:rPr>
          <w:rFonts w:hint="eastAsia" w:cs="Times New Roman"/>
        </w:rPr>
        <w:t>以上</w:t>
      </w:r>
      <w:r>
        <w:rPr>
          <w:rFonts w:cs="Times New Roman"/>
        </w:rPr>
        <w:t>。</w:t>
      </w:r>
      <w:r>
        <w:rPr>
          <w:rFonts w:hint="eastAsia" w:eastAsia="楷体" w:cs="Times New Roman"/>
        </w:rPr>
        <w:t>（县农业农村局、市生态环境局文水分局）</w:t>
      </w:r>
    </w:p>
    <w:p>
      <w:pPr>
        <w:numPr>
          <w:ilvl w:val="255"/>
          <w:numId w:val="0"/>
        </w:numPr>
        <w:spacing w:line="240" w:lineRule="auto"/>
        <w:ind w:firstLine="643"/>
        <w:rPr>
          <w:rFonts w:cs="Times New Roman"/>
        </w:rPr>
      </w:pPr>
      <w:r>
        <w:rPr>
          <w:rFonts w:hint="eastAsia" w:cs="Times New Roman"/>
          <w:b/>
          <w:bCs/>
        </w:rPr>
        <w:t>积极发展绿色种养循环农业。</w:t>
      </w:r>
      <w:r>
        <w:rPr>
          <w:rFonts w:hint="eastAsia" w:cs="Times New Roman"/>
          <w:bCs/>
        </w:rPr>
        <w:t>因地制宜打造多种形式的种养循环综合体，鼓励种、养主体之间签订合作协议，以南安镇周边</w:t>
      </w:r>
      <w:r>
        <w:rPr>
          <w:rFonts w:cs="Times New Roman"/>
          <w:bCs/>
        </w:rPr>
        <w:t>3</w:t>
      </w:r>
      <w:r>
        <w:rPr>
          <w:rFonts w:hint="eastAsia" w:cs="Times New Roman"/>
          <w:bCs/>
        </w:rPr>
        <w:t>万亩梨园和下曲镇种植大户为试点，结合作物需肥量和种植户意愿，在田间建设小型防渗粪肥贮存池，加强粪肥资源向需肥农田的转移和利用。引导大型养殖场流转土地，自行开展养殖废弃物无害化处理、资源化利用。积极培育干粪肥收集、处理、转运和施用专业化服务主体，探索符合当地实际的粪肥还田组织运行模式。以下曲镇、北张乡和西槽头乡为重点，实施畜禽养殖废弃物全量还田利用土地提质工程，推进农牧一体、全量循环。以下曲镇北辛店村为核心，开展畜禽粪肥还田利用试点，探索低成本、低风险液体粪肥还田技术。持续实施畜禽粪污资源化利用整县推进项目，拓宽畜禽粪污资源化利用渠道，建成并运营畜禽粪污资源化利用深加工处理中心。依托喜洋洋有机肥厂，鼓励牛粪生产土壤改良剂、生产蘑菇、蚯蚓养殖基质等肥料化利用。到</w:t>
      </w:r>
      <w:r>
        <w:rPr>
          <w:rFonts w:cs="Times New Roman"/>
          <w:bCs/>
        </w:rPr>
        <w:t>2027年，畜禽粪污综合利用率达到</w:t>
      </w:r>
      <w:r>
        <w:rPr>
          <w:rFonts w:hint="eastAsia" w:cs="Times New Roman"/>
          <w:bCs/>
        </w:rPr>
        <w:t>8</w:t>
      </w:r>
      <w:r>
        <w:rPr>
          <w:rFonts w:cs="Times New Roman"/>
          <w:bCs/>
        </w:rPr>
        <w:t>5%以上；到2035年，形成可复制推广的绿色种养循环农业</w:t>
      </w:r>
      <w:r>
        <w:rPr>
          <w:rFonts w:hint="eastAsia" w:cs="Times New Roman"/>
          <w:bCs/>
          <w:lang w:eastAsia="zh-CN"/>
        </w:rPr>
        <w:t>“</w:t>
      </w:r>
      <w:r>
        <w:rPr>
          <w:rFonts w:hint="eastAsia" w:cs="Times New Roman"/>
          <w:bCs/>
        </w:rPr>
        <w:t>文水经验</w:t>
      </w:r>
      <w:r>
        <w:rPr>
          <w:rFonts w:hint="eastAsia" w:cs="Times New Roman"/>
          <w:bCs/>
          <w:lang w:eastAsia="zh-CN"/>
        </w:rPr>
        <w:t>”</w:t>
      </w:r>
      <w:r>
        <w:rPr>
          <w:rFonts w:hint="eastAsia" w:cs="Times New Roman"/>
          <w:bCs/>
        </w:rPr>
        <w:t>。</w:t>
      </w:r>
      <w:r>
        <w:rPr>
          <w:rFonts w:hint="eastAsia" w:eastAsia="楷体" w:cs="Times New Roman"/>
        </w:rPr>
        <w:t>（县农业农村局、市生态环境局文水分局）</w:t>
      </w:r>
    </w:p>
    <w:p>
      <w:pPr>
        <w:pStyle w:val="2"/>
        <w:adjustRightInd w:val="0"/>
        <w:snapToGrid w:val="0"/>
        <w:spacing w:line="580" w:lineRule="exact"/>
        <w:ind w:firstLine="643"/>
        <w:rPr>
          <w:rFonts w:cs="Times New Roman"/>
        </w:rPr>
      </w:pPr>
      <w:r>
        <w:rPr>
          <w:rFonts w:cs="Times New Roman"/>
          <w:b/>
          <w:bCs/>
        </w:rPr>
        <w:t>加强绿色优质农产品供给。</w:t>
      </w:r>
      <w:r>
        <w:rPr>
          <w:rFonts w:cs="Times New Roman"/>
          <w:bCs/>
        </w:rPr>
        <w:t>高质量发展有机旱作农业，在山区建设高标准旱作农田，在平川扩大灌溉面积，提升耕地质量。深入实施农药化肥减量行动，改进施肥方式，推广应用机械施肥、种肥同播、水肥一体化等措施，积极推广缓释肥料、水溶肥料、微生物肥料等新型肥料。鼓励和推广使用高效低风险农药，加大高效低毒低残留农药和生物农药示范应用。以下曲镇、北张乡和西槽头乡为重点，实施五千亩绿色低碳高质量种植示范工程。</w:t>
      </w:r>
      <w:r>
        <w:rPr>
          <w:rFonts w:cs="Times New Roman"/>
        </w:rPr>
        <w:t>聚焦西城乡、南武乡、北张乡、孝义镇、开栅镇等地，以田园薯业等新型经营主体为龙头，重点发展西兰花、马铃薯等夏秋冷凉蔬菜</w:t>
      </w:r>
      <w:r>
        <w:rPr>
          <w:rFonts w:hint="eastAsia" w:cs="Times New Roman"/>
        </w:rPr>
        <w:t>产业</w:t>
      </w:r>
      <w:r>
        <w:rPr>
          <w:rFonts w:cs="Times New Roman"/>
        </w:rPr>
        <w:t>，因地制宜发展豆类、辣（甜）椒、番茄等高效设施蔬菜</w:t>
      </w:r>
      <w:r>
        <w:rPr>
          <w:rFonts w:hint="eastAsia" w:cs="Times New Roman"/>
        </w:rPr>
        <w:t>产业</w:t>
      </w:r>
      <w:r>
        <w:rPr>
          <w:rFonts w:cs="Times New Roman"/>
        </w:rPr>
        <w:t>，推动特色露地蔬菜和设施蔬菜标准化、规模化发展。不断加强苍儿会西部和开栅镇野生沙棘林资源保护，加快推动南安镇、南庄镇现有连片梨果园提质升级。鼓励龙头企业、合作社积极申报</w:t>
      </w:r>
      <w:r>
        <w:rPr>
          <w:rFonts w:hint="eastAsia" w:cs="Times New Roman"/>
          <w:lang w:eastAsia="zh-CN"/>
        </w:rPr>
        <w:t>“</w:t>
      </w:r>
      <w:r>
        <w:rPr>
          <w:rFonts w:cs="Times New Roman"/>
        </w:rPr>
        <w:t>有机旱作·晋品</w:t>
      </w:r>
      <w:r>
        <w:rPr>
          <w:rFonts w:hint="eastAsia" w:cs="Times New Roman"/>
          <w:lang w:eastAsia="zh-CN"/>
        </w:rPr>
        <w:t>”</w:t>
      </w:r>
      <w:r>
        <w:rPr>
          <w:rFonts w:hint="eastAsia" w:cs="Times New Roman"/>
        </w:rPr>
        <w:t>省域农业品牌，做强做优地方特色品牌，精心打造</w:t>
      </w:r>
      <w:r>
        <w:rPr>
          <w:rFonts w:hint="eastAsia" w:cs="Times New Roman"/>
          <w:lang w:eastAsia="zh-CN"/>
        </w:rPr>
        <w:t>“</w:t>
      </w:r>
      <w:r>
        <w:rPr>
          <w:rFonts w:hint="eastAsia" w:cs="Times New Roman"/>
        </w:rPr>
        <w:t>文水肉牛</w:t>
      </w:r>
      <w:r>
        <w:rPr>
          <w:rFonts w:hint="eastAsia" w:cs="Times New Roman"/>
          <w:lang w:eastAsia="zh-CN"/>
        </w:rPr>
        <w:t>”“</w:t>
      </w:r>
      <w:r>
        <w:rPr>
          <w:rFonts w:hint="eastAsia" w:cs="Times New Roman"/>
        </w:rPr>
        <w:t>女皇贡梨</w:t>
      </w:r>
      <w:r>
        <w:rPr>
          <w:rFonts w:hint="eastAsia" w:cs="Times New Roman"/>
          <w:lang w:eastAsia="zh-CN"/>
        </w:rPr>
        <w:t>”</w:t>
      </w:r>
      <w:r>
        <w:rPr>
          <w:rFonts w:hint="eastAsia" w:cs="Times New Roman"/>
        </w:rPr>
        <w:t>等区域公共品牌。</w:t>
      </w:r>
      <w:r>
        <w:rPr>
          <w:rFonts w:hint="eastAsia" w:cs="Times New Roman"/>
          <w:bCs/>
        </w:rPr>
        <w:t>到</w:t>
      </w:r>
      <w:r>
        <w:rPr>
          <w:rFonts w:cs="Times New Roman"/>
          <w:bCs/>
        </w:rPr>
        <w:t>2035</w:t>
      </w:r>
      <w:r>
        <w:rPr>
          <w:rFonts w:hint="eastAsia" w:cs="Times New Roman"/>
          <w:bCs/>
        </w:rPr>
        <w:t>年，成为全国特色农业综合改革示范的中坚力量。</w:t>
      </w:r>
      <w:r>
        <w:rPr>
          <w:rFonts w:hint="eastAsia" w:eastAsia="楷体" w:cs="Times New Roman"/>
        </w:rPr>
        <w:t>（县农业农村局、县工科局）</w:t>
      </w:r>
    </w:p>
    <w:p>
      <w:pPr>
        <w:adjustRightInd w:val="0"/>
        <w:snapToGrid w:val="0"/>
        <w:spacing w:line="580" w:lineRule="exact"/>
        <w:ind w:firstLine="643"/>
        <w:rPr>
          <w:rFonts w:eastAsia="楷体" w:cs="Times New Roman"/>
        </w:rPr>
      </w:pPr>
      <w:r>
        <w:rPr>
          <w:rFonts w:hint="eastAsia" w:cs="Times New Roman"/>
          <w:b/>
          <w:bCs/>
        </w:rPr>
        <w:t>推进农村一二三产融合。</w:t>
      </w:r>
      <w:r>
        <w:rPr>
          <w:rFonts w:hint="eastAsia" w:cs="Times New Roman"/>
        </w:rPr>
        <w:t>加快农业由生产环节向产前产后延伸拓展，依托大象农牧、和冠亨肉业、吕梁野山坡等农业产业化龙头企业，大力发展生猪、肉鸡、肉牛、沙棘农产品精深加工产业链，重点打造五香牛肉、高端定制牛肉等老字号牛肉制品，兼顾优质中高端冷鲜肉制品，带动种牛繁育、肉牛育肥、屠宰分割、肉制品深加工和冷链物流等一体化发展。支持沙棘、梨果等特色产品生产加工企业扩大生产规模，鼓励开发果醋、果汁、果酱、果脯、果膏、梨米酒及白酒等高端产品，推动农产品加工由粗放型向</w:t>
      </w:r>
      <w:r>
        <w:rPr>
          <w:rFonts w:hint="eastAsia" w:cs="Times New Roman"/>
          <w:lang w:eastAsia="zh-CN"/>
        </w:rPr>
        <w:t>“</w:t>
      </w:r>
      <w:r>
        <w:rPr>
          <w:rFonts w:cs="Times New Roman"/>
        </w:rPr>
        <w:t>精深细</w:t>
      </w:r>
      <w:r>
        <w:rPr>
          <w:rFonts w:hint="eastAsia" w:cs="Times New Roman"/>
          <w:lang w:eastAsia="zh-CN"/>
        </w:rPr>
        <w:t>”</w:t>
      </w:r>
      <w:r>
        <w:rPr>
          <w:rFonts w:cs="Times New Roman"/>
        </w:rPr>
        <w:t>型转变。深度挖掘</w:t>
      </w:r>
      <w:r>
        <w:rPr>
          <w:rFonts w:hint="eastAsia" w:cs="Times New Roman"/>
          <w:lang w:eastAsia="zh-CN"/>
        </w:rPr>
        <w:t>“</w:t>
      </w:r>
      <w:r>
        <w:rPr>
          <w:rFonts w:cs="Times New Roman"/>
        </w:rPr>
        <w:t>农业+</w:t>
      </w:r>
      <w:r>
        <w:rPr>
          <w:rFonts w:hint="eastAsia" w:cs="Times New Roman"/>
          <w:lang w:eastAsia="zh-CN"/>
        </w:rPr>
        <w:t>”</w:t>
      </w:r>
      <w:r>
        <w:rPr>
          <w:rFonts w:hint="eastAsia" w:cs="Times New Roman"/>
        </w:rPr>
        <w:t>功能</w:t>
      </w:r>
      <w:r>
        <w:rPr>
          <w:rFonts w:cs="Times New Roman"/>
        </w:rPr>
        <w:t>，大力发展休闲农业、乡村旅游、农耕体验和农业文创等新业态。</w:t>
      </w:r>
      <w:r>
        <w:rPr>
          <w:rFonts w:eastAsia="楷体" w:cs="Times New Roman"/>
        </w:rPr>
        <w:t>（县农业农村局、县工科局、县文旅局）</w:t>
      </w:r>
    </w:p>
    <w:p>
      <w:pPr>
        <w:pStyle w:val="5"/>
        <w:spacing w:before="156" w:after="156" w:line="240" w:lineRule="auto"/>
        <w:ind w:firstLine="643"/>
        <w:rPr>
          <w:rFonts w:cs="Times New Roman"/>
        </w:rPr>
      </w:pPr>
      <w:bookmarkStart w:id="96" w:name="_Toc24159"/>
      <w:bookmarkStart w:id="97" w:name="_Toc31318"/>
      <w:bookmarkStart w:id="98" w:name="_Toc23887"/>
      <w:bookmarkStart w:id="99" w:name="_Toc175895966"/>
      <w:bookmarkStart w:id="100" w:name="_Toc177067093"/>
      <w:bookmarkStart w:id="101" w:name="_Toc176974240"/>
      <w:r>
        <w:rPr>
          <w:rFonts w:cs="Times New Roman"/>
        </w:rPr>
        <w:t>（四）加快推动生态文旅深度融合</w:t>
      </w:r>
      <w:bookmarkEnd w:id="96"/>
      <w:bookmarkEnd w:id="97"/>
      <w:bookmarkEnd w:id="98"/>
      <w:bookmarkEnd w:id="99"/>
      <w:bookmarkEnd w:id="100"/>
      <w:bookmarkEnd w:id="101"/>
    </w:p>
    <w:p>
      <w:pPr>
        <w:spacing w:line="240" w:lineRule="auto"/>
        <w:ind w:firstLine="643"/>
        <w:rPr>
          <w:rFonts w:eastAsia="黑体" w:cs="Times New Roman"/>
          <w:szCs w:val="20"/>
        </w:rPr>
      </w:pPr>
      <w:r>
        <w:rPr>
          <w:rFonts w:hint="eastAsia" w:cs="Times New Roman"/>
          <w:b/>
          <w:bCs/>
        </w:rPr>
        <w:t>做优做强生态文旅。</w:t>
      </w:r>
      <w:r>
        <w:rPr>
          <w:rFonts w:hint="eastAsia" w:cs="Times New Roman"/>
        </w:rPr>
        <w:t>以太原近郊</w:t>
      </w:r>
      <w:r>
        <w:rPr>
          <w:rFonts w:hint="eastAsia" w:cs="Times New Roman"/>
          <w:lang w:eastAsia="zh-CN"/>
        </w:rPr>
        <w:t>“</w:t>
      </w:r>
      <w:r>
        <w:rPr>
          <w:rFonts w:cs="Times New Roman"/>
        </w:rPr>
        <w:t>人文休闲养生度假漫游地</w:t>
      </w:r>
      <w:r>
        <w:rPr>
          <w:rFonts w:hint="eastAsia" w:cs="Times New Roman"/>
          <w:lang w:eastAsia="zh-CN"/>
        </w:rPr>
        <w:t>”</w:t>
      </w:r>
      <w:r>
        <w:rPr>
          <w:rFonts w:cs="Times New Roman"/>
        </w:rPr>
        <w:t>为定位，发挥太原</w:t>
      </w:r>
      <w:r>
        <w:rPr>
          <w:rFonts w:hint="eastAsia" w:cs="Times New Roman"/>
          <w:lang w:eastAsia="zh-CN"/>
        </w:rPr>
        <w:t>“</w:t>
      </w:r>
      <w:r>
        <w:rPr>
          <w:rFonts w:cs="Times New Roman"/>
        </w:rPr>
        <w:t>1小时</w:t>
      </w:r>
      <w:r>
        <w:rPr>
          <w:rFonts w:hint="eastAsia" w:cs="Times New Roman"/>
          <w:lang w:eastAsia="zh-CN"/>
        </w:rPr>
        <w:t>”</w:t>
      </w:r>
      <w:r>
        <w:rPr>
          <w:rFonts w:cs="Times New Roman"/>
        </w:rPr>
        <w:t>城市圈区位优势，深入挖掘文水县古迹遗存、文化传承，构建</w:t>
      </w:r>
      <w:r>
        <w:rPr>
          <w:rFonts w:hint="eastAsia" w:cs="Times New Roman"/>
          <w:lang w:eastAsia="zh-CN"/>
        </w:rPr>
        <w:t>“</w:t>
      </w:r>
      <w:r>
        <w:rPr>
          <w:rFonts w:hint="eastAsia" w:cs="Times New Roman"/>
        </w:rPr>
        <w:t>两核四片多点</w:t>
      </w:r>
      <w:r>
        <w:rPr>
          <w:rFonts w:hint="eastAsia" w:cs="Times New Roman"/>
          <w:lang w:eastAsia="zh-CN"/>
        </w:rPr>
        <w:t>”</w:t>
      </w:r>
      <w:r>
        <w:rPr>
          <w:rFonts w:cs="Times New Roman"/>
        </w:rPr>
        <w:t>的文旅发展新格局。依托女皇故里、英雄家乡两张文化名片，打造以苍儿会为代表的生态文化、以武则天纪念馆为代表的女皇文化、以世泰湖为代表的汾河文化和以刘胡兰纪念馆为代表的红色文化四大旅游板块。加快建设苍儿会生态文化旅游综合开发项目，引爆热门IP，以点带面推动全域旅游。加大</w:t>
      </w:r>
      <w:r>
        <w:rPr>
          <w:rFonts w:hint="eastAsia" w:cs="Times New Roman"/>
          <w:lang w:val="en-US" w:eastAsia="zh-CN"/>
        </w:rPr>
        <w:t>孝义镇</w:t>
      </w:r>
      <w:r>
        <w:rPr>
          <w:rFonts w:cs="Times New Roman"/>
        </w:rPr>
        <w:t>孝义村、</w:t>
      </w:r>
      <w:r>
        <w:rPr>
          <w:rFonts w:hint="eastAsia" w:cs="Times New Roman"/>
        </w:rPr>
        <w:t>马西乡神堂村、凤城镇南徐村等传统古村落开发力度。聚焦不同乡土特色，打造梨园风光、汾河沿线大河风光、白酒酿造风光、肉牛养殖风光、古村建筑风光、特色蔬菜种植风光和山区康养风光，推动人文南徐、红色胡兰、古塔上贤、前周古村、历史文化名村北辛店、映水桥头等特色村庄建设。推进丽彬文化园国家级综合服务业标准化试点，催生白酒酿造、生态园林、大唐文化、则天文化研究、工业旅游融合发展新业态。</w:t>
      </w:r>
      <w:r>
        <w:rPr>
          <w:rFonts w:hint="eastAsia" w:eastAsia="楷体" w:cs="Times New Roman"/>
        </w:rPr>
        <w:t>（县文旅局、县住建局、县农业农村局）</w:t>
      </w:r>
    </w:p>
    <w:p>
      <w:pPr>
        <w:spacing w:line="240" w:lineRule="auto"/>
        <w:ind w:firstLine="643"/>
        <w:rPr>
          <w:rFonts w:cs="Times New Roman"/>
        </w:rPr>
      </w:pPr>
      <w:r>
        <w:rPr>
          <w:rFonts w:cs="Times New Roman"/>
          <w:b/>
          <w:bCs/>
        </w:rPr>
        <w:t>做精做细康养服务。</w:t>
      </w:r>
      <w:r>
        <w:rPr>
          <w:rFonts w:hint="eastAsia" w:cs="Times New Roman"/>
        </w:rPr>
        <w:t>依托</w:t>
      </w:r>
      <w:r>
        <w:rPr>
          <w:rFonts w:hint="eastAsia" w:cs="Times New Roman"/>
          <w:lang w:eastAsia="zh-CN"/>
        </w:rPr>
        <w:t>“</w:t>
      </w:r>
      <w:r>
        <w:rPr>
          <w:rFonts w:cs="Times New Roman"/>
        </w:rPr>
        <w:t>全国森林康养基地试点建设单位</w:t>
      </w:r>
      <w:r>
        <w:rPr>
          <w:rFonts w:hint="eastAsia" w:cs="Times New Roman"/>
          <w:lang w:eastAsia="zh-CN"/>
        </w:rPr>
        <w:t>”“</w:t>
      </w:r>
      <w:r>
        <w:rPr>
          <w:rFonts w:cs="Times New Roman"/>
        </w:rPr>
        <w:t>中国森林康养林场</w:t>
      </w:r>
      <w:r>
        <w:rPr>
          <w:rFonts w:hint="eastAsia" w:cs="Times New Roman"/>
          <w:lang w:eastAsia="zh-CN"/>
        </w:rPr>
        <w:t>”</w:t>
      </w:r>
      <w:r>
        <w:rPr>
          <w:rFonts w:cs="Times New Roman"/>
        </w:rPr>
        <w:t>品牌优势，</w:t>
      </w:r>
      <w:r>
        <w:rPr>
          <w:rFonts w:hint="eastAsia" w:cs="Times New Roman"/>
        </w:rPr>
        <w:t>支持苍儿会景区创建文旅康养示范区，扶持康欣药业打造全国菌类药标杆品牌，培育</w:t>
      </w:r>
      <w:r>
        <w:rPr>
          <w:rFonts w:hint="eastAsia" w:cs="Times New Roman"/>
          <w:lang w:eastAsia="zh-CN"/>
        </w:rPr>
        <w:t>“</w:t>
      </w:r>
      <w:r>
        <w:rPr>
          <w:rFonts w:cs="Times New Roman"/>
        </w:rPr>
        <w:t>养生</w:t>
      </w:r>
      <w:r>
        <w:rPr>
          <w:rFonts w:hint="eastAsia" w:cs="Times New Roman"/>
        </w:rPr>
        <w:t>—养心—养老</w:t>
      </w:r>
      <w:r>
        <w:rPr>
          <w:rFonts w:hint="eastAsia" w:cs="Times New Roman"/>
          <w:lang w:eastAsia="zh-CN"/>
        </w:rPr>
        <w:t>”</w:t>
      </w:r>
      <w:r>
        <w:rPr>
          <w:rFonts w:cs="Times New Roman"/>
        </w:rPr>
        <w:t>康养产业。加快森林康养生态环境质量提升、森林康养数据监测、森林康养文化传播，推动水、电、路、网络、通信、公厕、林间步道、全民健身等基础设施建设，构建以</w:t>
      </w:r>
      <w:r>
        <w:rPr>
          <w:rFonts w:hint="eastAsia" w:cs="Times New Roman"/>
          <w:lang w:eastAsia="zh-CN"/>
        </w:rPr>
        <w:t>“</w:t>
      </w:r>
      <w:r>
        <w:rPr>
          <w:rFonts w:cs="Times New Roman"/>
        </w:rPr>
        <w:t>养生•养心•养老</w:t>
      </w:r>
      <w:r>
        <w:rPr>
          <w:rFonts w:hint="eastAsia" w:cs="Times New Roman"/>
          <w:lang w:eastAsia="zh-CN"/>
        </w:rPr>
        <w:t>”</w:t>
      </w:r>
      <w:r>
        <w:rPr>
          <w:rFonts w:cs="Times New Roman"/>
        </w:rPr>
        <w:t>为主题的康养产业带。</w:t>
      </w:r>
      <w:r>
        <w:rPr>
          <w:rFonts w:hint="eastAsia" w:eastAsia="楷体" w:cs="Times New Roman"/>
        </w:rPr>
        <w:t>（县文旅局、县民政局）</w:t>
      </w:r>
    </w:p>
    <w:p>
      <w:pPr>
        <w:pStyle w:val="5"/>
        <w:spacing w:before="156" w:after="156" w:line="240" w:lineRule="auto"/>
        <w:ind w:firstLine="643"/>
        <w:rPr>
          <w:rFonts w:cs="Times New Roman"/>
        </w:rPr>
      </w:pPr>
      <w:bookmarkStart w:id="102" w:name="_Toc4120"/>
      <w:bookmarkStart w:id="103" w:name="_Toc11468"/>
      <w:bookmarkStart w:id="104" w:name="_Toc28250"/>
      <w:bookmarkStart w:id="105" w:name="_Toc177067094"/>
      <w:bookmarkStart w:id="106" w:name="_Toc176974241"/>
      <w:r>
        <w:rPr>
          <w:rFonts w:cs="Times New Roman"/>
        </w:rPr>
        <w:t>（五）推动资源节约集约高效利用</w:t>
      </w:r>
      <w:bookmarkEnd w:id="102"/>
      <w:bookmarkEnd w:id="103"/>
      <w:bookmarkEnd w:id="104"/>
      <w:bookmarkEnd w:id="105"/>
      <w:bookmarkEnd w:id="106"/>
    </w:p>
    <w:p>
      <w:pPr>
        <w:spacing w:line="240" w:lineRule="auto"/>
        <w:ind w:firstLine="643"/>
        <w:rPr>
          <w:rFonts w:cs="Times New Roman"/>
          <w:bCs/>
        </w:rPr>
      </w:pPr>
      <w:r>
        <w:rPr>
          <w:rFonts w:hint="eastAsia" w:cs="Times New Roman"/>
          <w:b/>
          <w:bCs/>
        </w:rPr>
        <w:t>加强水资源管理。</w:t>
      </w:r>
      <w:r>
        <w:rPr>
          <w:rFonts w:hint="eastAsia" w:cs="Times New Roman"/>
          <w:b w:val="0"/>
          <w:bCs/>
        </w:rPr>
        <w:t>坚持以水定城、以水定地、以水定人、以水定产，</w:t>
      </w:r>
      <w:r>
        <w:rPr>
          <w:rFonts w:cs="Times New Roman"/>
          <w:bCs/>
        </w:rPr>
        <w:t>实施水资源刚性约束制度，</w:t>
      </w:r>
      <w:r>
        <w:rPr>
          <w:rFonts w:hint="eastAsia" w:cs="Times New Roman"/>
          <w:bCs/>
        </w:rPr>
        <w:t>强化</w:t>
      </w:r>
      <w:r>
        <w:rPr>
          <w:rFonts w:cs="Times New Roman"/>
          <w:bCs/>
        </w:rPr>
        <w:t>用水总量和强度</w:t>
      </w:r>
      <w:r>
        <w:rPr>
          <w:rFonts w:hint="eastAsia" w:cs="Times New Roman"/>
          <w:bCs/>
        </w:rPr>
        <w:t>双控。</w:t>
      </w:r>
      <w:r>
        <w:rPr>
          <w:rFonts w:cs="Times New Roman"/>
          <w:bCs/>
        </w:rPr>
        <w:t>完善水资源配置制度，将再生水、雨水、苦咸水、矿井水等非常规水纳入水资源统一配置。在文峪河水库等地表水供水覆盖的地下水超采区实施地下水关井压采。大力推进污水处理厂尾水资源化利用，引导工业开展节水工艺改造</w:t>
      </w:r>
      <w:r>
        <w:rPr>
          <w:rFonts w:hint="eastAsia" w:cs="Times New Roman"/>
          <w:bCs/>
        </w:rPr>
        <w:t>，全面推进节水型企业建设。结合海绵城市建设，推进供水管网改造，推广节水器具使用、建筑中水应用，开展园林绿化节水建设等措施。以农业节水为重点，严格控制大水漫灌，加强农业节水设施和农业用水计量设施建设。到</w:t>
      </w:r>
      <w:r>
        <w:rPr>
          <w:rFonts w:cs="Times New Roman"/>
          <w:bCs/>
        </w:rPr>
        <w:t>2027</w:t>
      </w:r>
      <w:r>
        <w:rPr>
          <w:rFonts w:hint="eastAsia" w:cs="Times New Roman"/>
          <w:bCs/>
        </w:rPr>
        <w:t>年，再生水利用率达</w:t>
      </w:r>
      <w:r>
        <w:rPr>
          <w:rFonts w:cs="Times New Roman"/>
          <w:bCs/>
        </w:rPr>
        <w:t>40%</w:t>
      </w:r>
      <w:r>
        <w:rPr>
          <w:rFonts w:hint="eastAsia" w:cs="Times New Roman"/>
          <w:bCs/>
        </w:rPr>
        <w:t>。</w:t>
      </w:r>
      <w:r>
        <w:rPr>
          <w:rFonts w:hint="eastAsia" w:eastAsia="楷体" w:cs="Times New Roman"/>
        </w:rPr>
        <w:t>（县水利局、县农业农村局）</w:t>
      </w:r>
    </w:p>
    <w:p>
      <w:pPr>
        <w:spacing w:line="240" w:lineRule="auto"/>
        <w:ind w:firstLine="643"/>
        <w:rPr>
          <w:rFonts w:cs="Times New Roman"/>
        </w:rPr>
      </w:pPr>
      <w:r>
        <w:rPr>
          <w:rFonts w:cs="Times New Roman"/>
          <w:b/>
          <w:bCs/>
        </w:rPr>
        <w:t>加强工业固体废物循环利用。</w:t>
      </w:r>
      <w:r>
        <w:rPr>
          <w:rFonts w:hint="eastAsia" w:cs="Times New Roman"/>
          <w:bCs/>
        </w:rPr>
        <w:t>聚焦煤基固废，严格控制煤矿开采采高、掘高，减少破岩厚度，鼓励采用新技术、新工艺和新装备提高煤炭资源采出率，降低煤矸石产生强度。加强燃煤电厂燃烧过程管理，研发及推行新型燃烧技术，提高燃烧效率，降低粉煤灰产生强度。实施资源回收深度再利用项目，利用大宗工业固废生产新型建筑节能保温材料。结合全县煤矸石、粉煤灰等大宗工业固体废物的增量消纳和存量治理需求，统筹规划和推进煤基固废用于采煤沉陷区、采矿坑等损毁土地治理。鼓励煤炭开采形成的矿坑优先回填煤基固废，探索开展煤基固废用于植被覆盖率低、水土流失严重的自然荒沟的生态回填和修复治理。</w:t>
      </w:r>
      <w:r>
        <w:rPr>
          <w:rFonts w:hint="eastAsia" w:eastAsia="楷体" w:cs="Times New Roman"/>
        </w:rPr>
        <w:t>（文水经济开发区管委会</w:t>
      </w:r>
      <w:r>
        <w:rPr>
          <w:rFonts w:hint="eastAsia" w:eastAsia="楷体" w:cs="Times New Roman"/>
          <w:lang w:eastAsia="zh-CN"/>
        </w:rPr>
        <w:t>、</w:t>
      </w:r>
      <w:r>
        <w:rPr>
          <w:rFonts w:hint="eastAsia" w:eastAsia="楷体" w:cs="Times New Roman"/>
        </w:rPr>
        <w:t>县工科局、县自然资源局、市生态环境局文水分局）</w:t>
      </w:r>
    </w:p>
    <w:p>
      <w:pPr>
        <w:pStyle w:val="4"/>
        <w:spacing w:line="240" w:lineRule="auto"/>
        <w:ind w:firstLine="640"/>
        <w:jc w:val="left"/>
        <w:rPr>
          <w:rFonts w:cs="Times New Roman"/>
        </w:rPr>
      </w:pPr>
      <w:bookmarkStart w:id="107" w:name="_Toc177067095"/>
      <w:bookmarkStart w:id="108" w:name="_Toc22070"/>
      <w:bookmarkStart w:id="109" w:name="_Toc22928"/>
      <w:bookmarkStart w:id="110" w:name="_Toc32659"/>
      <w:bookmarkStart w:id="111" w:name="_Toc176974242"/>
      <w:r>
        <w:rPr>
          <w:rFonts w:hint="eastAsia" w:cs="Times New Roman"/>
          <w:lang w:val="en-US" w:eastAsia="zh-CN"/>
        </w:rPr>
        <w:t>三</w:t>
      </w:r>
      <w:r>
        <w:rPr>
          <w:rFonts w:cs="Times New Roman"/>
        </w:rPr>
        <w:t>、持续深入推进污染防治攻坚，打造</w:t>
      </w:r>
      <w:r>
        <w:rPr>
          <w:rFonts w:hint="eastAsia" w:cs="Times New Roman"/>
          <w:lang w:eastAsia="zh-CN"/>
        </w:rPr>
        <w:t>“</w:t>
      </w:r>
      <w:r>
        <w:rPr>
          <w:rFonts w:cs="Times New Roman"/>
        </w:rPr>
        <w:t>蓝天常驻、绿水长清</w:t>
      </w:r>
      <w:r>
        <w:rPr>
          <w:rFonts w:hint="eastAsia" w:cs="Times New Roman"/>
          <w:lang w:eastAsia="zh-CN"/>
        </w:rPr>
        <w:t>”</w:t>
      </w:r>
      <w:r>
        <w:rPr>
          <w:rFonts w:cs="Times New Roman"/>
        </w:rPr>
        <w:t>的宜人环境</w:t>
      </w:r>
      <w:bookmarkEnd w:id="107"/>
      <w:bookmarkEnd w:id="108"/>
      <w:bookmarkEnd w:id="109"/>
      <w:bookmarkEnd w:id="110"/>
      <w:bookmarkEnd w:id="111"/>
    </w:p>
    <w:bookmarkEnd w:id="74"/>
    <w:bookmarkEnd w:id="75"/>
    <w:p>
      <w:pPr>
        <w:pStyle w:val="5"/>
        <w:spacing w:before="156" w:after="156" w:line="240" w:lineRule="auto"/>
        <w:ind w:firstLine="643"/>
        <w:rPr>
          <w:rFonts w:cs="Times New Roman"/>
        </w:rPr>
      </w:pPr>
      <w:bookmarkStart w:id="112" w:name="_Toc176974243"/>
      <w:bookmarkStart w:id="113" w:name="_Toc175895979"/>
      <w:bookmarkStart w:id="114" w:name="_Toc177067096"/>
      <w:bookmarkStart w:id="115" w:name="_Toc22959"/>
      <w:bookmarkStart w:id="116" w:name="_Toc18804"/>
      <w:bookmarkStart w:id="117" w:name="_Toc9115"/>
      <w:r>
        <w:rPr>
          <w:rFonts w:cs="Times New Roman"/>
        </w:rPr>
        <w:t>（一）深化汾河谷地污染治理攻坚战</w:t>
      </w:r>
      <w:bookmarkEnd w:id="112"/>
      <w:bookmarkEnd w:id="113"/>
      <w:bookmarkEnd w:id="114"/>
      <w:bookmarkEnd w:id="115"/>
      <w:bookmarkEnd w:id="116"/>
      <w:bookmarkEnd w:id="117"/>
    </w:p>
    <w:p>
      <w:pPr>
        <w:spacing w:line="240" w:lineRule="auto"/>
        <w:ind w:firstLine="643"/>
        <w:rPr>
          <w:rFonts w:cs="Times New Roman"/>
          <w:bCs/>
        </w:rPr>
      </w:pPr>
      <w:r>
        <w:rPr>
          <w:rFonts w:hint="eastAsia" w:cs="Times New Roman"/>
          <w:b/>
          <w:bCs/>
        </w:rPr>
        <w:t>打好重污染天气消除攻坚战。</w:t>
      </w:r>
      <w:r>
        <w:rPr>
          <w:rFonts w:hint="eastAsia" w:cs="Times New Roman"/>
          <w:bCs/>
        </w:rPr>
        <w:t>聚焦秋冬季细颗粒物污染，持续开展秋冬季大气污染综合治理攻坚，加快燃煤锅炉和工业炉窑清洁能源替代，积极稳妥实施</w:t>
      </w:r>
      <w:r>
        <w:rPr>
          <w:rFonts w:hint="eastAsia" w:cs="Times New Roman"/>
          <w:bCs/>
          <w:lang w:eastAsia="zh-CN"/>
        </w:rPr>
        <w:t>“</w:t>
      </w:r>
      <w:r>
        <w:rPr>
          <w:rFonts w:hint="eastAsia" w:cs="Times New Roman"/>
          <w:bCs/>
        </w:rPr>
        <w:t>集中供热</w:t>
      </w:r>
      <w:r>
        <w:rPr>
          <w:rFonts w:hint="eastAsia" w:cs="Times New Roman"/>
          <w:bCs/>
          <w:lang w:eastAsia="zh-CN"/>
        </w:rPr>
        <w:t>”“</w:t>
      </w:r>
      <w:r>
        <w:rPr>
          <w:rFonts w:hint="eastAsia" w:cs="Times New Roman"/>
          <w:bCs/>
        </w:rPr>
        <w:t>煤改气</w:t>
      </w:r>
      <w:r>
        <w:rPr>
          <w:rFonts w:hint="eastAsia" w:cs="Times New Roman"/>
          <w:bCs/>
          <w:lang w:eastAsia="zh-CN"/>
        </w:rPr>
        <w:t>”“</w:t>
      </w:r>
      <w:r>
        <w:rPr>
          <w:rFonts w:hint="eastAsia" w:cs="Times New Roman"/>
          <w:bCs/>
        </w:rPr>
        <w:t>煤改电</w:t>
      </w:r>
      <w:r>
        <w:rPr>
          <w:rFonts w:hint="eastAsia" w:cs="Times New Roman"/>
          <w:bCs/>
          <w:lang w:eastAsia="zh-CN"/>
        </w:rPr>
        <w:t>”</w:t>
      </w:r>
      <w:r>
        <w:rPr>
          <w:rFonts w:hint="eastAsia" w:cs="Times New Roman"/>
          <w:bCs/>
        </w:rPr>
        <w:t>清洁取暖工程。开展锅炉和工业炉窑简易低效污染治理设施排查整治，对低效失效大气污染治理设施实施清洁能源替代、升级改造、整合退出等方式分类处置。引导鼓励县城建成区内重污染企业有序退出。扎实推进</w:t>
      </w:r>
      <w:r>
        <w:rPr>
          <w:rFonts w:hint="eastAsia" w:cs="Times New Roman"/>
          <w:bCs/>
          <w:lang w:eastAsia="zh-CN"/>
        </w:rPr>
        <w:t>“</w:t>
      </w:r>
      <w:r>
        <w:rPr>
          <w:rFonts w:hint="eastAsia" w:cs="Times New Roman"/>
          <w:bCs/>
        </w:rPr>
        <w:t>散乱污</w:t>
      </w:r>
      <w:r>
        <w:rPr>
          <w:rFonts w:hint="eastAsia" w:cs="Times New Roman"/>
          <w:bCs/>
          <w:lang w:eastAsia="zh-CN"/>
        </w:rPr>
        <w:t>”</w:t>
      </w:r>
      <w:r>
        <w:rPr>
          <w:rFonts w:hint="eastAsia" w:cs="Times New Roman"/>
          <w:bCs/>
        </w:rPr>
        <w:t>综合整治，严查重处非法储煤场等</w:t>
      </w:r>
      <w:r>
        <w:rPr>
          <w:rFonts w:hint="eastAsia" w:cs="Times New Roman"/>
          <w:bCs/>
          <w:lang w:eastAsia="zh-CN"/>
        </w:rPr>
        <w:t>“</w:t>
      </w:r>
      <w:r>
        <w:rPr>
          <w:rFonts w:hint="eastAsia" w:cs="Times New Roman"/>
          <w:bCs/>
        </w:rPr>
        <w:t>散乱污</w:t>
      </w:r>
      <w:r>
        <w:rPr>
          <w:rFonts w:hint="eastAsia" w:cs="Times New Roman"/>
          <w:bCs/>
          <w:lang w:eastAsia="zh-CN"/>
        </w:rPr>
        <w:t>”</w:t>
      </w:r>
      <w:r>
        <w:rPr>
          <w:rFonts w:hint="eastAsia" w:cs="Times New Roman"/>
          <w:bCs/>
        </w:rPr>
        <w:t>企业，分类实施关停取缔、搬迁和原地提升改造。深化汾河谷地大气污染联防联控，严格执行重点行业差异化错峰生产，科学实施差异化管控，强化重污染天气应急联动。到</w:t>
      </w:r>
      <w:r>
        <w:rPr>
          <w:rFonts w:cs="Times New Roman"/>
          <w:bCs/>
        </w:rPr>
        <w:t>2027</w:t>
      </w:r>
      <w:r>
        <w:rPr>
          <w:rFonts w:hint="eastAsia" w:cs="Times New Roman"/>
          <w:bCs/>
        </w:rPr>
        <w:t>年，细颗粒物平均浓度力争达到国家环境空气质量二级标准。</w:t>
      </w:r>
      <w:r>
        <w:rPr>
          <w:rFonts w:hint="eastAsia" w:eastAsia="楷体" w:cs="Times New Roman"/>
        </w:rPr>
        <w:t>（市生态环境局文水分局、县能源局、县发改局）</w:t>
      </w:r>
    </w:p>
    <w:p>
      <w:pPr>
        <w:spacing w:line="240" w:lineRule="auto"/>
        <w:ind w:firstLine="643"/>
        <w:rPr>
          <w:rFonts w:cs="Times New Roman"/>
          <w:bCs/>
        </w:rPr>
      </w:pPr>
      <w:r>
        <w:rPr>
          <w:rFonts w:cs="Times New Roman"/>
          <w:b/>
          <w:bCs/>
        </w:rPr>
        <w:t>打好臭氧污染防治攻坚战。</w:t>
      </w:r>
      <w:r>
        <w:rPr>
          <w:rFonts w:hint="eastAsia" w:cs="Times New Roman"/>
          <w:bCs/>
        </w:rPr>
        <w:t>聚焦夏秋季臭氧污染，围绕重点行业、经济开发区等重点领域、重点区域，实施挥发性有机物和氮氧化物协同减排。开展化工、喷涂等重点行业挥发性有机物全流程、全环节整治，加大低（无）挥发性有机物含量原辅材料源头替代力度。以推动大规模设备更新为契机，加快重点行业设备更新和技术改造，持续开展重点行业环保绩效等级</w:t>
      </w:r>
      <w:r>
        <w:rPr>
          <w:rFonts w:hint="eastAsia" w:cs="Times New Roman"/>
          <w:bCs/>
          <w:lang w:eastAsia="zh-CN"/>
        </w:rPr>
        <w:t>“</w:t>
      </w:r>
      <w:r>
        <w:rPr>
          <w:rFonts w:hint="eastAsia" w:cs="Times New Roman"/>
          <w:bCs/>
        </w:rPr>
        <w:t>创</w:t>
      </w:r>
      <w:r>
        <w:rPr>
          <w:rFonts w:cs="Times New Roman"/>
          <w:bCs/>
        </w:rPr>
        <w:t>A</w:t>
      </w:r>
      <w:r>
        <w:rPr>
          <w:rFonts w:hint="eastAsia" w:cs="Times New Roman"/>
          <w:bCs/>
        </w:rPr>
        <w:t>升</w:t>
      </w:r>
      <w:r>
        <w:rPr>
          <w:rFonts w:cs="Times New Roman"/>
          <w:bCs/>
        </w:rPr>
        <w:t>B</w:t>
      </w:r>
      <w:r>
        <w:rPr>
          <w:rFonts w:hint="eastAsia" w:cs="Times New Roman"/>
          <w:bCs/>
          <w:lang w:eastAsia="zh-CN"/>
        </w:rPr>
        <w:t>”</w:t>
      </w:r>
      <w:r>
        <w:rPr>
          <w:rFonts w:hint="eastAsia" w:cs="Times New Roman"/>
          <w:bCs/>
        </w:rPr>
        <w:t>行动，全面完成重点行业深度治理，深入推进焦化、钢铁、水泥超低排放改造，实现铸造、耐火材料、铁合金、陶瓷、砖瓦、石灰等行业工业炉窑全面达标排放。到</w:t>
      </w:r>
      <w:r>
        <w:rPr>
          <w:rFonts w:cs="Times New Roman"/>
          <w:bCs/>
        </w:rPr>
        <w:t>2035</w:t>
      </w:r>
      <w:r>
        <w:rPr>
          <w:rFonts w:hint="eastAsia" w:cs="Times New Roman"/>
          <w:bCs/>
        </w:rPr>
        <w:t>年，臭氧年均浓度力争达到国家环境空气质量二级标准。</w:t>
      </w:r>
      <w:r>
        <w:rPr>
          <w:rFonts w:hint="eastAsia" w:eastAsia="楷体" w:cs="Times New Roman"/>
        </w:rPr>
        <w:t>（市生态环境局文水分局、县工科局）</w:t>
      </w:r>
    </w:p>
    <w:p>
      <w:pPr>
        <w:spacing w:line="240" w:lineRule="auto"/>
        <w:ind w:firstLine="643"/>
        <w:rPr>
          <w:rFonts w:cs="Times New Roman"/>
        </w:rPr>
      </w:pPr>
      <w:r>
        <w:rPr>
          <w:rFonts w:cs="Times New Roman"/>
          <w:b/>
          <w:bCs/>
        </w:rPr>
        <w:t>打好柴油货车污染治理攻坚战。</w:t>
      </w:r>
      <w:r>
        <w:rPr>
          <w:rFonts w:hint="eastAsia" w:cs="Times New Roman"/>
          <w:bCs/>
        </w:rPr>
        <w:t>深入推进低碳交通运输体系建设，逐步推广清洁运输、新能源车辆使用，全面提升交通运输能效水平。推进车辆（机械）优化升级，逐步推动国四柴油车、国二非道路移动机械提前淘汰，并鼓励进行新能源化更新。结合农业生产需求，加快推进老旧农业机械提前淘汰更新。加大柴油车污染治理力度，严格实施汽柴油质量标准，强化非道路移动机械排放控制区管控。加大油品油气行业治理，按要求实施加油站油气回收在线监测系统安装，开展油气回收专项检查。到</w:t>
      </w:r>
      <w:r>
        <w:rPr>
          <w:rFonts w:cs="Times New Roman"/>
          <w:bCs/>
        </w:rPr>
        <w:t>2027</w:t>
      </w:r>
      <w:r>
        <w:rPr>
          <w:rFonts w:hint="eastAsia" w:cs="Times New Roman"/>
          <w:bCs/>
        </w:rPr>
        <w:t>年，新增汽车中新能源车占比达到</w:t>
      </w:r>
      <w:r>
        <w:rPr>
          <w:rFonts w:cs="Times New Roman"/>
          <w:bCs/>
        </w:rPr>
        <w:t>45%</w:t>
      </w:r>
      <w:r>
        <w:rPr>
          <w:rFonts w:hint="eastAsia" w:cs="Times New Roman"/>
          <w:bCs/>
        </w:rPr>
        <w:t>，老旧内燃机车基本淘汰；到</w:t>
      </w:r>
      <w:r>
        <w:rPr>
          <w:rFonts w:cs="Times New Roman"/>
          <w:bCs/>
        </w:rPr>
        <w:t>2035</w:t>
      </w:r>
      <w:r>
        <w:rPr>
          <w:rFonts w:hint="eastAsia" w:cs="Times New Roman"/>
          <w:bCs/>
        </w:rPr>
        <w:t>年，大宗货物基本实现清洁运输。</w:t>
      </w:r>
      <w:r>
        <w:rPr>
          <w:rFonts w:hint="eastAsia" w:eastAsia="楷体" w:cs="Times New Roman"/>
        </w:rPr>
        <w:t>（县交通局、县市场监管局、县公安局交警大队、市生态环境局文水分局）</w:t>
      </w:r>
    </w:p>
    <w:p>
      <w:pPr>
        <w:spacing w:line="240" w:lineRule="auto"/>
        <w:ind w:firstLine="643"/>
        <w:rPr>
          <w:rFonts w:cs="Times New Roman"/>
          <w:b/>
          <w:bCs/>
        </w:rPr>
      </w:pPr>
      <w:r>
        <w:rPr>
          <w:rFonts w:cs="Times New Roman"/>
          <w:b/>
          <w:bCs/>
        </w:rPr>
        <w:t>全面加强面源污染防治。</w:t>
      </w:r>
      <w:r>
        <w:rPr>
          <w:rFonts w:cs="Times New Roman"/>
          <w:bCs/>
        </w:rPr>
        <w:t>提高扬尘精细化管理，严格落实建筑工地</w:t>
      </w:r>
      <w:r>
        <w:rPr>
          <w:rFonts w:hint="eastAsia" w:cs="Times New Roman"/>
          <w:bCs/>
          <w:lang w:eastAsia="zh-CN"/>
        </w:rPr>
        <w:t>“</w:t>
      </w:r>
      <w:r>
        <w:rPr>
          <w:rFonts w:hint="eastAsia" w:cs="Times New Roman"/>
          <w:bCs/>
        </w:rPr>
        <w:t>六个百分之百</w:t>
      </w:r>
      <w:r>
        <w:rPr>
          <w:rFonts w:hint="eastAsia" w:cs="Times New Roman"/>
          <w:bCs/>
          <w:lang w:eastAsia="zh-CN"/>
        </w:rPr>
        <w:t>”</w:t>
      </w:r>
      <w:r>
        <w:rPr>
          <w:rFonts w:hint="eastAsia" w:cs="Times New Roman"/>
          <w:bCs/>
        </w:rPr>
        <w:t>要求，完善工地扬尘在线监测和视频监控设施设备，鼓励有条件的市政工程采用覆罩法和装配式施工。推进城市道路低尘机械化清扫作业，加强落地扬尘污染控制。全面禁止秸秆、垃圾等露天焚烧。加大餐饮油烟污染治理力度。加强消耗臭氧层物质和氢氟碳化物管理。</w:t>
      </w:r>
      <w:r>
        <w:rPr>
          <w:rFonts w:hint="eastAsia" w:eastAsia="楷体" w:cs="Times New Roman"/>
        </w:rPr>
        <w:t>（市生态环境局文水分局、县住建局、县环卫园林服务中心、县交通局）</w:t>
      </w:r>
    </w:p>
    <w:p>
      <w:pPr>
        <w:pStyle w:val="5"/>
        <w:spacing w:before="156" w:after="156" w:line="240" w:lineRule="auto"/>
        <w:ind w:firstLine="643"/>
        <w:rPr>
          <w:rFonts w:hint="eastAsia" w:eastAsia="楷体_GB2312" w:cs="Times New Roman"/>
          <w:lang w:eastAsia="zh-CN"/>
        </w:rPr>
      </w:pPr>
      <w:bookmarkStart w:id="118" w:name="_Toc176974244"/>
      <w:bookmarkStart w:id="119" w:name="_Toc25373"/>
      <w:bookmarkStart w:id="120" w:name="_Toc175895980"/>
      <w:bookmarkStart w:id="121" w:name="_Toc177067097"/>
      <w:bookmarkStart w:id="122" w:name="_Toc6768"/>
      <w:bookmarkStart w:id="123" w:name="_Toc27312"/>
      <w:r>
        <w:rPr>
          <w:rFonts w:cs="Times New Roman"/>
        </w:rPr>
        <w:t>（二）深入推进</w:t>
      </w:r>
      <w:r>
        <w:rPr>
          <w:rFonts w:hint="eastAsia" w:cs="Times New Roman"/>
          <w:lang w:eastAsia="zh-CN"/>
        </w:rPr>
        <w:t>“</w:t>
      </w:r>
      <w:r>
        <w:rPr>
          <w:rFonts w:cs="Times New Roman"/>
        </w:rPr>
        <w:t>一泓清水入黄河</w:t>
      </w:r>
      <w:bookmarkEnd w:id="118"/>
      <w:bookmarkEnd w:id="119"/>
      <w:bookmarkEnd w:id="120"/>
      <w:bookmarkEnd w:id="121"/>
      <w:r>
        <w:rPr>
          <w:rFonts w:hint="eastAsia" w:cs="Times New Roman"/>
          <w:lang w:eastAsia="zh-CN"/>
        </w:rPr>
        <w:t>”</w:t>
      </w:r>
      <w:bookmarkEnd w:id="122"/>
      <w:bookmarkEnd w:id="123"/>
    </w:p>
    <w:p>
      <w:pPr>
        <w:numPr>
          <w:ilvl w:val="255"/>
          <w:numId w:val="0"/>
        </w:numPr>
        <w:spacing w:line="240" w:lineRule="auto"/>
        <w:ind w:firstLine="642" w:firstLineChars="200"/>
        <w:rPr>
          <w:rFonts w:eastAsia="楷体" w:cs="Times New Roman"/>
        </w:rPr>
      </w:pPr>
      <w:r>
        <w:rPr>
          <w:rFonts w:hint="eastAsia" w:cs="Times New Roman"/>
          <w:b/>
          <w:bCs/>
        </w:rPr>
        <w:t>保障饮用水水源安全。</w:t>
      </w:r>
      <w:r>
        <w:rPr>
          <w:rFonts w:hint="eastAsia" w:cs="Times New Roman"/>
        </w:rPr>
        <w:t>加强南徐水源地重点区域保护，开展饮用水水源保护区整治以及饮用水水源监控能力建设。制定饮用水水源地整治方案和应急预案，提高饮用水水源地保护区污染防治、环境保护和生态建设水平。以</w:t>
      </w:r>
      <w:r>
        <w:rPr>
          <w:rFonts w:hint="eastAsia" w:cs="Times New Roman"/>
          <w:lang w:eastAsia="zh-CN"/>
        </w:rPr>
        <w:t>“</w:t>
      </w:r>
      <w:r>
        <w:rPr>
          <w:rFonts w:hint="eastAsia" w:cs="Times New Roman"/>
        </w:rPr>
        <w:t>千吨万人</w:t>
      </w:r>
      <w:r>
        <w:rPr>
          <w:rFonts w:hint="eastAsia" w:cs="Times New Roman"/>
          <w:lang w:eastAsia="zh-CN"/>
        </w:rPr>
        <w:t>”</w:t>
      </w:r>
      <w:r>
        <w:rPr>
          <w:rFonts w:hint="eastAsia" w:cs="Times New Roman"/>
        </w:rPr>
        <w:t>饮用水水源地为重点，推动农村饮用水水源保护区规范化建设，持续推进保护区划定以及地理界标、警示标志或宣传牌设立，稳步推进农村饮用水水源保护工作。</w:t>
      </w:r>
      <w:r>
        <w:rPr>
          <w:rFonts w:hint="eastAsia" w:eastAsia="楷体" w:cs="Times New Roman"/>
        </w:rPr>
        <w:t>（县水利局、市生态环境局文水分局）</w:t>
      </w:r>
    </w:p>
    <w:p>
      <w:pPr>
        <w:numPr>
          <w:ilvl w:val="255"/>
          <w:numId w:val="0"/>
        </w:numPr>
        <w:spacing w:line="240" w:lineRule="auto"/>
        <w:ind w:firstLine="642" w:firstLineChars="200"/>
        <w:rPr>
          <w:rFonts w:cs="Times New Roman"/>
          <w:bCs/>
        </w:rPr>
      </w:pPr>
      <w:r>
        <w:rPr>
          <w:rFonts w:hint="eastAsia" w:cs="Times New Roman"/>
          <w:b/>
          <w:bCs/>
        </w:rPr>
        <w:t>有力有效推进流域水环境保护治理</w:t>
      </w:r>
      <w:r>
        <w:rPr>
          <w:rFonts w:cs="Times New Roman"/>
          <w:b/>
          <w:bCs/>
        </w:rPr>
        <w:t>。</w:t>
      </w:r>
      <w:r>
        <w:rPr>
          <w:rFonts w:hint="eastAsia" w:cs="Times New Roman"/>
        </w:rPr>
        <w:t>全面摸清入河排污口底数，逐一明确入河排污口责任主体，按照</w:t>
      </w:r>
      <w:r>
        <w:rPr>
          <w:rFonts w:hint="eastAsia" w:cs="Times New Roman"/>
          <w:lang w:eastAsia="zh-CN"/>
        </w:rPr>
        <w:t>“</w:t>
      </w:r>
      <w:r>
        <w:rPr>
          <w:rFonts w:hint="eastAsia" w:cs="Times New Roman"/>
        </w:rPr>
        <w:t>依法取缔一批、清理合并一批、规范整治一批</w:t>
      </w:r>
      <w:r>
        <w:rPr>
          <w:rFonts w:hint="eastAsia" w:cs="Times New Roman"/>
          <w:lang w:eastAsia="zh-CN"/>
        </w:rPr>
        <w:t>”</w:t>
      </w:r>
      <w:r>
        <w:rPr>
          <w:rFonts w:hint="eastAsia" w:cs="Times New Roman"/>
        </w:rPr>
        <w:t>要求，制定入河排污口整治方案，严格入河排污口分类整治。严格落实相关法律法规关于入河排污口设置的规定，强化入河排污口监督管理。</w:t>
      </w:r>
      <w:r>
        <w:rPr>
          <w:rFonts w:hint="eastAsia" w:cs="Times New Roman"/>
          <w:bCs/>
        </w:rPr>
        <w:t>持续推进</w:t>
      </w:r>
      <w:r>
        <w:rPr>
          <w:rFonts w:hint="eastAsia" w:cs="Times New Roman"/>
          <w:bCs/>
          <w:lang w:eastAsia="zh-CN"/>
        </w:rPr>
        <w:t>“</w:t>
      </w:r>
      <w:r>
        <w:rPr>
          <w:rFonts w:hint="eastAsia" w:cs="Times New Roman"/>
          <w:bCs/>
        </w:rPr>
        <w:t>一泓清水入黄河</w:t>
      </w:r>
      <w:r>
        <w:rPr>
          <w:rFonts w:hint="eastAsia" w:cs="Times New Roman"/>
          <w:bCs/>
          <w:lang w:eastAsia="zh-CN"/>
        </w:rPr>
        <w:t>”</w:t>
      </w:r>
      <w:r>
        <w:rPr>
          <w:rFonts w:hint="eastAsia" w:cs="Times New Roman"/>
          <w:bCs/>
        </w:rPr>
        <w:t>系列工程项目，全面推进经济开发区百金堡产业园污水处理厂污水管网排查整治。加强白酒酿造、焦化等重污染行业水污染治理，所有涉水排水企业达标排放。煤矿矿井水优先选择用于煤炭洗选、井下生产、消防、绿化等，确需排放应当达到地表水环境质量</w:t>
      </w:r>
      <w:r>
        <w:rPr>
          <w:rFonts w:cs="Times New Roman"/>
          <w:bCs/>
        </w:rPr>
        <w:t>III</w:t>
      </w:r>
      <w:r>
        <w:rPr>
          <w:rFonts w:hint="eastAsia" w:cs="Times New Roman"/>
          <w:bCs/>
        </w:rPr>
        <w:t>类标准。重点加强食品加工坊等企业废水收集设施，强化企业厂区初期雨水收集治理回用。持续</w:t>
      </w:r>
      <w:r>
        <w:rPr>
          <w:rFonts w:cs="Times New Roman"/>
          <w:bCs/>
        </w:rPr>
        <w:t>强化磁窑河沿线畜禽养殖企业和屠宰企业污染治理，鼓励规模以下企业入园入区，规模以上企业严格达标排放。到2027</w:t>
      </w:r>
      <w:r>
        <w:rPr>
          <w:rFonts w:hint="eastAsia" w:cs="Times New Roman"/>
          <w:bCs/>
        </w:rPr>
        <w:t>年，地表水省考断面达到或优于Ⅲ类水质比例稳定达到</w:t>
      </w:r>
      <w:r>
        <w:rPr>
          <w:rFonts w:cs="Times New Roman"/>
          <w:bCs/>
        </w:rPr>
        <w:t>100%，县域内河湖水生态环境质量显著改善。</w:t>
      </w:r>
      <w:r>
        <w:rPr>
          <w:rFonts w:hint="eastAsia" w:eastAsia="楷体" w:cs="Times New Roman"/>
        </w:rPr>
        <w:t>（市生态环境局文水分局、县水利局、县农业农村局、文水经济开发区管委会）</w:t>
      </w:r>
    </w:p>
    <w:p>
      <w:pPr>
        <w:numPr>
          <w:ilvl w:val="255"/>
          <w:numId w:val="0"/>
        </w:numPr>
        <w:spacing w:line="240" w:lineRule="auto"/>
        <w:ind w:firstLine="642" w:firstLineChars="200"/>
        <w:rPr>
          <w:rFonts w:cs="Times New Roman"/>
          <w:bCs/>
        </w:rPr>
      </w:pPr>
      <w:r>
        <w:rPr>
          <w:rFonts w:cs="Times New Roman"/>
          <w:b/>
          <w:bCs/>
        </w:rPr>
        <w:t>构建水生态环境保护新格</w:t>
      </w:r>
      <w:r>
        <w:rPr>
          <w:rFonts w:hint="eastAsia" w:cs="Times New Roman"/>
          <w:b/>
          <w:bCs/>
        </w:rPr>
        <w:t>局</w:t>
      </w:r>
      <w:r>
        <w:rPr>
          <w:rFonts w:cs="Times New Roman"/>
          <w:b/>
          <w:bCs/>
        </w:rPr>
        <w:t>。</w:t>
      </w:r>
      <w:r>
        <w:rPr>
          <w:rFonts w:cs="Times New Roman"/>
        </w:rPr>
        <w:t>自觉践行</w:t>
      </w:r>
      <w:r>
        <w:rPr>
          <w:rFonts w:hint="eastAsia" w:cs="Times New Roman"/>
          <w:lang w:eastAsia="zh-CN"/>
        </w:rPr>
        <w:t>“</w:t>
      </w:r>
      <w:r>
        <w:rPr>
          <w:rFonts w:hint="eastAsia" w:cs="Times New Roman"/>
        </w:rPr>
        <w:t>节水优先、空间均衡、系统治理、两手发力</w:t>
      </w:r>
      <w:r>
        <w:rPr>
          <w:rFonts w:hint="eastAsia" w:cs="Times New Roman"/>
          <w:lang w:eastAsia="zh-CN"/>
        </w:rPr>
        <w:t>”</w:t>
      </w:r>
      <w:r>
        <w:rPr>
          <w:rFonts w:hint="eastAsia" w:cs="Times New Roman"/>
        </w:rPr>
        <w:t>治水思路，严格项目审批管理，强化涉水项目水资源论证和用水审批。</w:t>
      </w:r>
      <w:r>
        <w:rPr>
          <w:rFonts w:hint="eastAsia" w:cs="Times New Roman"/>
          <w:bCs/>
        </w:rPr>
        <w:t>以磁窑河、文峪河和汾河为重点，</w:t>
      </w:r>
      <w:r>
        <w:rPr>
          <w:rFonts w:hint="eastAsia" w:cs="Times New Roman"/>
        </w:rPr>
        <w:t>积极开展河湖水质监测，大力推进水土保持工作，探索开展水生生物多样性调查，系统实施水系连通、水生态修复、水环境治理等项目，加快美丽河湖建设，切实维护河湖生态系统多样性、稳定性。</w:t>
      </w:r>
      <w:r>
        <w:rPr>
          <w:rFonts w:hint="eastAsia" w:cs="Times New Roman"/>
          <w:bCs/>
        </w:rPr>
        <w:t>持续推进文峪河生态环境综合整治工程以及湿地建设，推进汾河百公里中游示范区文水段生态治理工程，</w:t>
      </w:r>
      <w:r>
        <w:rPr>
          <w:rFonts w:hint="eastAsia" w:cs="Times New Roman"/>
        </w:rPr>
        <w:t>提档升级园林绿化景观效果，配套建设环水公园、滨水步道、亲水平台等，打造</w:t>
      </w:r>
      <w:r>
        <w:rPr>
          <w:rFonts w:hint="eastAsia" w:cs="Times New Roman"/>
          <w:lang w:eastAsia="zh-CN"/>
        </w:rPr>
        <w:t>“</w:t>
      </w:r>
      <w:r>
        <w:rPr>
          <w:rFonts w:hint="eastAsia" w:cs="Times New Roman"/>
        </w:rPr>
        <w:t>一湖一景、一河一韵</w:t>
      </w:r>
      <w:r>
        <w:rPr>
          <w:rFonts w:hint="eastAsia" w:cs="Times New Roman"/>
          <w:lang w:eastAsia="zh-CN"/>
        </w:rPr>
        <w:t>”</w:t>
      </w:r>
      <w:r>
        <w:rPr>
          <w:rFonts w:hint="eastAsia" w:cs="Times New Roman"/>
        </w:rPr>
        <w:t>，切实将优质河湖生态资源转化为绿色发展新动能。</w:t>
      </w:r>
      <w:r>
        <w:rPr>
          <w:rFonts w:hint="eastAsia" w:cs="Times New Roman"/>
          <w:bCs/>
        </w:rPr>
        <w:t>到</w:t>
      </w:r>
      <w:r>
        <w:rPr>
          <w:rFonts w:cs="Times New Roman"/>
          <w:bCs/>
        </w:rPr>
        <w:t>2027年，文峪河、汾河基本建成</w:t>
      </w:r>
      <w:r>
        <w:rPr>
          <w:rFonts w:hint="eastAsia" w:cs="Times New Roman"/>
          <w:bCs/>
          <w:lang w:eastAsia="zh-CN"/>
        </w:rPr>
        <w:t>“</w:t>
      </w:r>
      <w:r>
        <w:rPr>
          <w:rFonts w:cs="Times New Roman"/>
          <w:bCs/>
        </w:rPr>
        <w:t>清水绿岸、鱼翔浅底、人水和谐</w:t>
      </w:r>
      <w:r>
        <w:rPr>
          <w:rFonts w:hint="eastAsia" w:cs="Times New Roman"/>
          <w:bCs/>
          <w:lang w:eastAsia="zh-CN"/>
        </w:rPr>
        <w:t>”</w:t>
      </w:r>
      <w:r>
        <w:rPr>
          <w:rFonts w:cs="Times New Roman"/>
          <w:bCs/>
        </w:rPr>
        <w:t>的美丽河湖；到2035年，</w:t>
      </w:r>
      <w:r>
        <w:rPr>
          <w:rFonts w:hint="eastAsia" w:cs="Times New Roman"/>
          <w:bCs/>
        </w:rPr>
        <w:t>全县主要河流、湖泊、水库及排水沟渠水质全面达标，河湖生态系统健康稳定；人民群众亲水、近水、乐水的参与感、体验感显著增强；磁窑河打造成为美丽河湖新高地，实现</w:t>
      </w:r>
      <w:r>
        <w:rPr>
          <w:rFonts w:hint="eastAsia" w:cs="Times New Roman"/>
          <w:bCs/>
          <w:lang w:eastAsia="zh-CN"/>
        </w:rPr>
        <w:t>“</w:t>
      </w:r>
      <w:r>
        <w:rPr>
          <w:rFonts w:hint="eastAsia" w:cs="Times New Roman"/>
          <w:bCs/>
        </w:rPr>
        <w:t>河更畅、水更清、岸更绿、景更美、人更和</w:t>
      </w:r>
      <w:r>
        <w:rPr>
          <w:rFonts w:hint="eastAsia" w:cs="Times New Roman"/>
          <w:bCs/>
          <w:lang w:eastAsia="zh-CN"/>
        </w:rPr>
        <w:t>”</w:t>
      </w:r>
      <w:r>
        <w:rPr>
          <w:rFonts w:hint="eastAsia" w:cs="Times New Roman"/>
          <w:bCs/>
        </w:rPr>
        <w:t>的目标。</w:t>
      </w:r>
      <w:r>
        <w:rPr>
          <w:rFonts w:hint="eastAsia" w:eastAsia="楷体" w:cs="Times New Roman"/>
        </w:rPr>
        <w:t>（市生态环境局文水分局、县水利局）</w:t>
      </w:r>
    </w:p>
    <w:p>
      <w:pPr>
        <w:numPr>
          <w:ilvl w:val="255"/>
          <w:numId w:val="0"/>
        </w:numPr>
        <w:spacing w:line="240" w:lineRule="auto"/>
        <w:ind w:firstLine="642" w:firstLineChars="200"/>
        <w:rPr>
          <w:rFonts w:cs="Times New Roman"/>
        </w:rPr>
      </w:pPr>
      <w:r>
        <w:rPr>
          <w:rFonts w:hint="eastAsia" w:cs="Times New Roman"/>
          <w:b/>
          <w:bCs/>
        </w:rPr>
        <w:t>持续深化</w:t>
      </w:r>
      <w:r>
        <w:rPr>
          <w:rFonts w:cs="Times New Roman"/>
          <w:b/>
          <w:bCs/>
        </w:rPr>
        <w:t>农业面源污染</w:t>
      </w:r>
      <w:r>
        <w:rPr>
          <w:rFonts w:hint="eastAsia" w:cs="Times New Roman"/>
          <w:b/>
          <w:bCs/>
        </w:rPr>
        <w:t>治理与监督指导。</w:t>
      </w:r>
      <w:r>
        <w:rPr>
          <w:rFonts w:hint="eastAsia" w:cs="Times New Roman"/>
        </w:rPr>
        <w:t>坚持以问题为导向，</w:t>
      </w:r>
      <w:r>
        <w:rPr>
          <w:rFonts w:hint="eastAsia" w:cs="Times New Roman"/>
          <w:bCs/>
        </w:rPr>
        <w:t>构建完善的农业面源污染监测体系，加强对农业污染源的监测预警。聚焦农业面源污染突出的磁窑河流域文水段，强化系统治理。加强</w:t>
      </w:r>
      <w:r>
        <w:rPr>
          <w:rFonts w:cs="Times New Roman"/>
          <w:bCs/>
        </w:rPr>
        <w:t>畜禽粪污</w:t>
      </w:r>
      <w:r>
        <w:rPr>
          <w:rFonts w:hint="eastAsia" w:cs="Times New Roman"/>
          <w:bCs/>
          <w:lang w:eastAsia="zh-CN"/>
        </w:rPr>
        <w:t>“</w:t>
      </w:r>
      <w:r>
        <w:rPr>
          <w:rFonts w:hint="eastAsia" w:cs="Times New Roman"/>
          <w:bCs/>
        </w:rPr>
        <w:t>收集</w:t>
      </w:r>
      <w:r>
        <w:rPr>
          <w:rFonts w:cs="Times New Roman"/>
          <w:bCs/>
        </w:rPr>
        <w:t>—</w:t>
      </w:r>
      <w:r>
        <w:rPr>
          <w:rFonts w:hint="eastAsia" w:cs="Times New Roman"/>
          <w:bCs/>
        </w:rPr>
        <w:t>贮存</w:t>
      </w:r>
      <w:r>
        <w:rPr>
          <w:rFonts w:cs="Times New Roman"/>
          <w:bCs/>
        </w:rPr>
        <w:t>—</w:t>
      </w:r>
      <w:r>
        <w:rPr>
          <w:rFonts w:hint="eastAsia" w:cs="Times New Roman"/>
          <w:bCs/>
        </w:rPr>
        <w:t>转运</w:t>
      </w:r>
      <w:r>
        <w:rPr>
          <w:rFonts w:cs="Times New Roman"/>
          <w:bCs/>
        </w:rPr>
        <w:t>—</w:t>
      </w:r>
      <w:r>
        <w:rPr>
          <w:rFonts w:hint="eastAsia" w:cs="Times New Roman"/>
          <w:bCs/>
        </w:rPr>
        <w:t>利用</w:t>
      </w:r>
      <w:r>
        <w:rPr>
          <w:rFonts w:hint="eastAsia" w:cs="Times New Roman"/>
          <w:bCs/>
          <w:lang w:eastAsia="zh-CN"/>
        </w:rPr>
        <w:t>”</w:t>
      </w:r>
      <w:r>
        <w:rPr>
          <w:rFonts w:hint="eastAsia" w:cs="Times New Roman"/>
          <w:bCs/>
        </w:rPr>
        <w:t>全链条监管。</w:t>
      </w:r>
      <w:r>
        <w:rPr>
          <w:rFonts w:cs="Times New Roman"/>
          <w:bCs/>
        </w:rPr>
        <w:t>支持规模养殖场改造雨污分离</w:t>
      </w:r>
      <w:r>
        <w:rPr>
          <w:rFonts w:hint="eastAsia" w:cs="Times New Roman"/>
          <w:bCs/>
        </w:rPr>
        <w:t>系统，购置机械清粪、干湿分离设备，持续完善规模养殖场粪污处理设施配套。引导小型养殖场配套必要的粪污收集、贮存、处理、利用设施设备。探索开展农业面源污染治理成效</w:t>
      </w:r>
      <w:r>
        <w:rPr>
          <w:rFonts w:cs="Times New Roman"/>
          <w:bCs/>
        </w:rPr>
        <w:t>评估</w:t>
      </w:r>
      <w:r>
        <w:rPr>
          <w:rFonts w:hint="eastAsia" w:cs="Times New Roman"/>
          <w:bCs/>
        </w:rPr>
        <w:t>，及时总结试点典型经验模式。到</w:t>
      </w:r>
      <w:r>
        <w:rPr>
          <w:rFonts w:cs="Times New Roman"/>
          <w:bCs/>
        </w:rPr>
        <w:t>2027</w:t>
      </w:r>
      <w:r>
        <w:rPr>
          <w:rFonts w:hint="eastAsia" w:cs="Times New Roman"/>
          <w:bCs/>
        </w:rPr>
        <w:t>年，规模养殖场粪污处理设施装备配套率力争达到</w:t>
      </w:r>
      <w:r>
        <w:rPr>
          <w:rFonts w:cs="Times New Roman"/>
          <w:bCs/>
        </w:rPr>
        <w:t>100%</w:t>
      </w:r>
      <w:r>
        <w:rPr>
          <w:rFonts w:hint="eastAsia" w:cs="Times New Roman"/>
          <w:bCs/>
        </w:rPr>
        <w:t>，基本形成特色鲜明、行之有效的农业面源污染治理与监督指导模式。到</w:t>
      </w:r>
      <w:r>
        <w:rPr>
          <w:rFonts w:cs="Times New Roman"/>
          <w:bCs/>
        </w:rPr>
        <w:t>2035</w:t>
      </w:r>
      <w:r>
        <w:rPr>
          <w:rFonts w:hint="eastAsia" w:cs="Times New Roman"/>
          <w:bCs/>
        </w:rPr>
        <w:t>年，农业面源污染防治经验和路径力争在全省形成示范。</w:t>
      </w:r>
      <w:r>
        <w:rPr>
          <w:rFonts w:hint="eastAsia" w:eastAsia="楷体" w:cs="Times New Roman"/>
        </w:rPr>
        <w:t>（市生态环境局文水分局、县农业农村局）</w:t>
      </w:r>
    </w:p>
    <w:p>
      <w:pPr>
        <w:pStyle w:val="5"/>
        <w:spacing w:before="156" w:after="156" w:line="240" w:lineRule="auto"/>
        <w:ind w:firstLine="643"/>
        <w:rPr>
          <w:rFonts w:cs="Times New Roman"/>
        </w:rPr>
      </w:pPr>
      <w:bookmarkStart w:id="124" w:name="_Toc13935"/>
      <w:bookmarkStart w:id="125" w:name="_Toc176974245"/>
      <w:bookmarkStart w:id="126" w:name="_Toc3352"/>
      <w:bookmarkStart w:id="127" w:name="_Toc177067098"/>
      <w:bookmarkStart w:id="128" w:name="_Toc175895981"/>
      <w:bookmarkStart w:id="129" w:name="_Toc20673"/>
      <w:r>
        <w:rPr>
          <w:rFonts w:cs="Times New Roman"/>
        </w:rPr>
        <w:t>（三）加强土壤和地下水污染防治</w:t>
      </w:r>
      <w:bookmarkEnd w:id="124"/>
      <w:bookmarkEnd w:id="125"/>
      <w:bookmarkEnd w:id="126"/>
      <w:bookmarkEnd w:id="127"/>
      <w:bookmarkEnd w:id="128"/>
      <w:bookmarkEnd w:id="129"/>
    </w:p>
    <w:p>
      <w:pPr>
        <w:numPr>
          <w:ilvl w:val="255"/>
          <w:numId w:val="0"/>
        </w:numPr>
        <w:spacing w:line="240" w:lineRule="auto"/>
        <w:ind w:firstLine="642" w:firstLineChars="200"/>
        <w:rPr>
          <w:rFonts w:cs="Times New Roman"/>
        </w:rPr>
      </w:pPr>
      <w:r>
        <w:rPr>
          <w:rFonts w:hint="eastAsia" w:cs="Times New Roman"/>
          <w:b/>
          <w:bCs/>
        </w:rPr>
        <w:t>全面推行耕地分类管理。</w:t>
      </w:r>
      <w:r>
        <w:rPr>
          <w:rFonts w:hint="eastAsia" w:cs="Times New Roman"/>
        </w:rPr>
        <w:t>严守耕地</w:t>
      </w:r>
      <w:r>
        <w:rPr>
          <w:rFonts w:cs="Times New Roman"/>
        </w:rPr>
        <w:t>保护</w:t>
      </w:r>
      <w:r>
        <w:rPr>
          <w:rFonts w:hint="eastAsia" w:cs="Times New Roman"/>
        </w:rPr>
        <w:t>红线，全面落实永久基本农田保护制度</w:t>
      </w:r>
      <w:r>
        <w:rPr>
          <w:rFonts w:cs="Times New Roman"/>
        </w:rPr>
        <w:t>，</w:t>
      </w:r>
      <w:r>
        <w:rPr>
          <w:rFonts w:hint="eastAsia" w:cs="Times New Roman"/>
        </w:rPr>
        <w:t>建立健全耕地保护共同责任机制，构建</w:t>
      </w:r>
      <w:r>
        <w:rPr>
          <w:rFonts w:hint="eastAsia" w:cs="Times New Roman"/>
          <w:lang w:eastAsia="zh-CN"/>
        </w:rPr>
        <w:t>“</w:t>
      </w:r>
      <w:r>
        <w:rPr>
          <w:rFonts w:hint="eastAsia" w:cs="Times New Roman"/>
        </w:rPr>
        <w:t>党政同责、部门协同、源头严控</w:t>
      </w:r>
      <w:r>
        <w:rPr>
          <w:rFonts w:hint="eastAsia" w:cs="Times New Roman"/>
          <w:lang w:eastAsia="zh-CN"/>
        </w:rPr>
        <w:t>”</w:t>
      </w:r>
      <w:r>
        <w:rPr>
          <w:rFonts w:hint="eastAsia" w:cs="Times New Roman"/>
        </w:rPr>
        <w:t>的早发现、早制止、严查处工作格局。持续开展耕地质量保护与提升行动，确保优先保护类耕地质量不下降。持续推进拟开垦耕地土壤污染状况调查工作，严守耕地准入门槛，加强地产农产品质量安全监管和土壤环境跟踪监测，保障新增耕地的土壤环境质量。</w:t>
      </w:r>
      <w:r>
        <w:rPr>
          <w:rFonts w:cs="Times New Roman"/>
        </w:rPr>
        <w:t>到2027</w:t>
      </w:r>
      <w:r>
        <w:rPr>
          <w:rFonts w:hint="eastAsia" w:cs="Times New Roman"/>
        </w:rPr>
        <w:t>年，受污染耕地安全利用率达</w:t>
      </w:r>
      <w:r>
        <w:rPr>
          <w:rFonts w:cs="Times New Roman"/>
        </w:rPr>
        <w:t>100%</w:t>
      </w:r>
      <w:r>
        <w:rPr>
          <w:rFonts w:hint="eastAsia" w:cs="Times New Roman"/>
        </w:rPr>
        <w:t>。</w:t>
      </w:r>
      <w:r>
        <w:rPr>
          <w:rFonts w:hint="eastAsia" w:eastAsia="楷体" w:cs="Times New Roman"/>
        </w:rPr>
        <w:t>（县农业农村局、市生态环境局文水分局）</w:t>
      </w:r>
    </w:p>
    <w:p>
      <w:pPr>
        <w:spacing w:line="600" w:lineRule="exact"/>
        <w:ind w:firstLine="643"/>
        <w:rPr>
          <w:rFonts w:hint="eastAsia" w:eastAsia="楷体" w:cs="Times New Roman"/>
        </w:rPr>
      </w:pPr>
      <w:r>
        <w:rPr>
          <w:rFonts w:cs="Times New Roman"/>
          <w:b/>
          <w:bCs/>
        </w:rPr>
        <w:t>严格建设用地土壤污染风险管控。</w:t>
      </w:r>
      <w:r>
        <w:rPr>
          <w:rFonts w:cs="Times New Roman"/>
        </w:rPr>
        <w:t>以用途变更为住宅、公共管理与公共服务用地、食品加工储存用地或者农用地的地块，以及腾退工矿企业用地为重点，依法开展土壤污染状况调查和风险评估。</w:t>
      </w:r>
      <w:r>
        <w:rPr>
          <w:rFonts w:hint="eastAsia" w:cs="Times New Roman"/>
        </w:rPr>
        <w:t>加强因淘汰焦化行业落后和过剩产能关停的焦化企业遗留地块的监管，依法依规开展土壤污染状况调查评估。</w:t>
      </w:r>
      <w:r>
        <w:rPr>
          <w:rFonts w:cs="Times New Roman"/>
        </w:rPr>
        <w:t>严格污染地块准入管理，加强暂不开发利用污染地块环境风险管控。加强建设用地土壤污染风险管控和修复名录管理。</w:t>
      </w:r>
      <w:r>
        <w:rPr>
          <w:rFonts w:hint="eastAsia" w:cs="Times New Roman"/>
        </w:rPr>
        <w:t>严格</w:t>
      </w:r>
      <w:r>
        <w:rPr>
          <w:rFonts w:cs="Times New Roman"/>
        </w:rPr>
        <w:t>管控土壤污染重点监管单位。</w:t>
      </w:r>
      <w:r>
        <w:rPr>
          <w:rFonts w:hint="eastAsia" w:cs="Times New Roman"/>
        </w:rPr>
        <w:t>到</w:t>
      </w:r>
      <w:r>
        <w:rPr>
          <w:rFonts w:cs="Times New Roman"/>
        </w:rPr>
        <w:t>2027</w:t>
      </w:r>
      <w:r>
        <w:rPr>
          <w:rFonts w:hint="eastAsia" w:cs="Times New Roman"/>
        </w:rPr>
        <w:t>年，建设用地安全利用得到有效保障。</w:t>
      </w:r>
      <w:r>
        <w:rPr>
          <w:rFonts w:hint="eastAsia" w:eastAsia="楷体" w:cs="Times New Roman"/>
        </w:rPr>
        <w:t>（县自然资源局、市生态环境局文水分局）</w:t>
      </w:r>
    </w:p>
    <w:p>
      <w:pPr>
        <w:spacing w:line="600" w:lineRule="exact"/>
        <w:ind w:firstLine="643"/>
        <w:rPr>
          <w:rFonts w:hint="eastAsia" w:eastAsia="楷体" w:cs="Times New Roman"/>
        </w:rPr>
      </w:pPr>
      <w:r>
        <w:rPr>
          <w:rFonts w:hint="eastAsia" w:cs="Times New Roman"/>
          <w:b/>
          <w:bCs/>
          <w:lang w:val="en-US" w:eastAsia="zh-CN"/>
        </w:rPr>
        <w:t>加强土壤污染源头防控。</w:t>
      </w:r>
      <w:r>
        <w:rPr>
          <w:rFonts w:hint="eastAsia" w:cs="Times New Roman"/>
          <w:b w:val="0"/>
          <w:bCs w:val="0"/>
          <w:lang w:val="en-US" w:eastAsia="zh-CN"/>
        </w:rPr>
        <w:t>落实生态环境分区管控要求，</w:t>
      </w:r>
      <w:r>
        <w:rPr>
          <w:rFonts w:hint="eastAsia" w:cs="Times New Roman"/>
        </w:rPr>
        <w:t>深化农用地分类管理和建设用地安全利用</w:t>
      </w:r>
      <w:r>
        <w:rPr>
          <w:rFonts w:hint="eastAsia" w:cs="Times New Roman"/>
          <w:lang w:eastAsia="zh-CN"/>
        </w:rPr>
        <w:t>，</w:t>
      </w:r>
      <w:r>
        <w:rPr>
          <w:rFonts w:hint="eastAsia" w:cs="Times New Roman"/>
          <w:lang w:val="en-US" w:eastAsia="zh-CN"/>
        </w:rPr>
        <w:t>划定地下水污染防治重点区域</w:t>
      </w:r>
      <w:r>
        <w:rPr>
          <w:rFonts w:hint="default" w:eastAsia="仿宋_GB2312" w:cs="Times New Roman"/>
          <w:b w:val="0"/>
          <w:bCs w:val="0"/>
          <w:lang w:val="en-US" w:eastAsia="zh-CN"/>
        </w:rPr>
        <w:t>。</w:t>
      </w:r>
      <w:r>
        <w:rPr>
          <w:rFonts w:hint="eastAsia" w:cs="Times New Roman"/>
          <w:b w:val="0"/>
          <w:bCs w:val="0"/>
          <w:lang w:val="en-US" w:eastAsia="zh-CN"/>
        </w:rPr>
        <w:t>严格落实焦化等行业产业结构调整指导目录要求，加快相关产业绿色化转型。严格控制涉重金属行业企业污染物排放。</w:t>
      </w:r>
      <w:r>
        <w:rPr>
          <w:rFonts w:hint="eastAsia" w:cs="Times New Roman"/>
        </w:rPr>
        <w:t>推动涉重金属等重点行业企业依法开展强制性清洁生产审核。</w:t>
      </w:r>
      <w:r>
        <w:rPr>
          <w:rFonts w:hint="eastAsia" w:cs="Times New Roman"/>
          <w:lang w:val="en-US" w:eastAsia="zh-CN"/>
        </w:rPr>
        <w:t>新建涉重金属排放企业，要在相关建设项目中加强重金属排放对周边耕地土壤的累积性风险分析，存在风险的，要采取防控措施</w:t>
      </w:r>
      <w:r>
        <w:rPr>
          <w:rFonts w:hint="eastAsia" w:cs="Times New Roman"/>
          <w:lang w:eastAsia="zh-CN"/>
        </w:rPr>
        <w:t>。</w:t>
      </w:r>
      <w:r>
        <w:rPr>
          <w:rFonts w:hint="eastAsia" w:cs="Times New Roman"/>
        </w:rPr>
        <w:t>加强盐碱地等未污染土壤保护。</w:t>
      </w:r>
      <w:r>
        <w:rPr>
          <w:rFonts w:hint="eastAsia" w:eastAsia="楷体" w:cs="Times New Roman"/>
        </w:rPr>
        <w:t>（市生态环境局文水分局</w:t>
      </w:r>
      <w:r>
        <w:rPr>
          <w:rFonts w:hint="eastAsia" w:eastAsia="楷体" w:cs="Times New Roman"/>
          <w:lang w:eastAsia="zh-CN"/>
        </w:rPr>
        <w:t>、</w:t>
      </w:r>
      <w:r>
        <w:rPr>
          <w:rFonts w:hint="eastAsia" w:eastAsia="楷体" w:cs="Times New Roman"/>
        </w:rPr>
        <w:t>县自然资源局、县</w:t>
      </w:r>
      <w:r>
        <w:rPr>
          <w:rFonts w:hint="eastAsia" w:eastAsia="楷体" w:cs="Times New Roman"/>
          <w:lang w:val="en-US" w:eastAsia="zh-CN"/>
        </w:rPr>
        <w:t>农业农村局、县</w:t>
      </w:r>
      <w:r>
        <w:rPr>
          <w:rFonts w:hint="eastAsia" w:eastAsia="楷体" w:cs="Times New Roman"/>
        </w:rPr>
        <w:t>发改局）</w:t>
      </w:r>
    </w:p>
    <w:p>
      <w:pPr>
        <w:spacing w:line="600" w:lineRule="exact"/>
        <w:ind w:firstLine="643"/>
        <w:rPr>
          <w:rFonts w:cs="Times New Roman"/>
        </w:rPr>
      </w:pPr>
      <w:r>
        <w:rPr>
          <w:rFonts w:hint="eastAsia" w:cs="Times New Roman"/>
          <w:b/>
          <w:bCs/>
          <w:lang w:val="en-US" w:eastAsia="zh-CN"/>
        </w:rPr>
        <w:t>加强</w:t>
      </w:r>
      <w:r>
        <w:rPr>
          <w:rFonts w:cs="Times New Roman"/>
          <w:b/>
          <w:bCs/>
        </w:rPr>
        <w:t>地下水</w:t>
      </w:r>
      <w:r>
        <w:rPr>
          <w:rFonts w:hint="eastAsia" w:cs="Times New Roman"/>
          <w:b/>
          <w:bCs/>
          <w:lang w:val="en-US" w:eastAsia="zh-CN"/>
        </w:rPr>
        <w:t>污染防治</w:t>
      </w:r>
      <w:r>
        <w:rPr>
          <w:rFonts w:cs="Times New Roman"/>
          <w:b/>
          <w:bCs/>
        </w:rPr>
        <w:t>。</w:t>
      </w:r>
      <w:r>
        <w:rPr>
          <w:rFonts w:cs="Times New Roman"/>
        </w:rPr>
        <w:t>以</w:t>
      </w:r>
      <w:r>
        <w:rPr>
          <w:rFonts w:hint="eastAsia" w:cs="Times New Roman"/>
          <w:lang w:eastAsia="zh-CN"/>
        </w:rPr>
        <w:t>“</w:t>
      </w:r>
      <w:r>
        <w:rPr>
          <w:rFonts w:hint="eastAsia" w:cs="Times New Roman"/>
        </w:rPr>
        <w:t>一企一库</w:t>
      </w:r>
      <w:r>
        <w:rPr>
          <w:rFonts w:hint="eastAsia" w:cs="Times New Roman"/>
          <w:lang w:eastAsia="zh-CN"/>
        </w:rPr>
        <w:t>”“</w:t>
      </w:r>
      <w:r>
        <w:rPr>
          <w:rFonts w:hint="eastAsia" w:cs="Times New Roman"/>
        </w:rPr>
        <w:t>两场两区</w:t>
      </w:r>
      <w:r>
        <w:rPr>
          <w:rFonts w:hint="eastAsia" w:cs="Times New Roman"/>
          <w:lang w:eastAsia="zh-CN"/>
        </w:rPr>
        <w:t>”</w:t>
      </w:r>
      <w:r>
        <w:rPr>
          <w:rFonts w:hint="eastAsia" w:cs="Times New Roman"/>
        </w:rPr>
        <w:t>（</w:t>
      </w:r>
      <w:r>
        <w:rPr>
          <w:rFonts w:cs="Times New Roman"/>
        </w:rPr>
        <w:t>即化学品生产企业、尾矿库、危险废物处置场、垃圾填埋场、工业集聚区、矿山开采区）为重点，开展污染源周边地下水环境状况调查评估。完善地下水监测网络，开展地下水基础环境状况调查评估与地下水污染修复试点。加快推进垃圾填埋场规范封场和生态修复工程。</w:t>
      </w:r>
      <w:r>
        <w:rPr>
          <w:rFonts w:hint="eastAsia" w:cs="Times New Roman"/>
        </w:rPr>
        <w:t>到</w:t>
      </w:r>
      <w:r>
        <w:rPr>
          <w:rFonts w:cs="Times New Roman"/>
        </w:rPr>
        <w:t>2035</w:t>
      </w:r>
      <w:r>
        <w:rPr>
          <w:rFonts w:hint="eastAsia" w:cs="Times New Roman"/>
        </w:rPr>
        <w:t>年，地下水国控点位Ⅰ—Ⅳ类水比例达到</w:t>
      </w:r>
      <w:r>
        <w:rPr>
          <w:rFonts w:cs="Times New Roman"/>
        </w:rPr>
        <w:t>80%</w:t>
      </w:r>
      <w:r>
        <w:rPr>
          <w:rFonts w:hint="eastAsia" w:cs="Times New Roman"/>
        </w:rPr>
        <w:t>以上。</w:t>
      </w:r>
      <w:r>
        <w:rPr>
          <w:rFonts w:hint="eastAsia" w:eastAsia="楷体" w:cs="Times New Roman"/>
        </w:rPr>
        <w:t>（市生态环境局文水分局、县环卫园林服务中心）</w:t>
      </w:r>
    </w:p>
    <w:p>
      <w:pPr>
        <w:pStyle w:val="5"/>
        <w:spacing w:before="156" w:after="156" w:line="240" w:lineRule="auto"/>
        <w:ind w:firstLine="643"/>
        <w:rPr>
          <w:rFonts w:cs="Times New Roman"/>
        </w:rPr>
      </w:pPr>
      <w:bookmarkStart w:id="130" w:name="_Toc20544"/>
      <w:bookmarkStart w:id="131" w:name="_Toc28313"/>
      <w:bookmarkStart w:id="132" w:name="_Toc176974246"/>
      <w:bookmarkStart w:id="133" w:name="_Toc175895982"/>
      <w:bookmarkStart w:id="134" w:name="_Toc177067099"/>
      <w:bookmarkStart w:id="135" w:name="_Toc2309"/>
      <w:r>
        <w:rPr>
          <w:rFonts w:cs="Times New Roman"/>
        </w:rPr>
        <w:t>（四）强化固体废物和新污染物治理</w:t>
      </w:r>
      <w:bookmarkEnd w:id="130"/>
      <w:bookmarkEnd w:id="131"/>
      <w:bookmarkEnd w:id="132"/>
      <w:bookmarkEnd w:id="133"/>
      <w:bookmarkEnd w:id="134"/>
      <w:bookmarkEnd w:id="135"/>
    </w:p>
    <w:p>
      <w:pPr>
        <w:pStyle w:val="2"/>
        <w:ind w:firstLine="643"/>
        <w:rPr>
          <w:rFonts w:cs="Times New Roman"/>
        </w:rPr>
      </w:pPr>
      <w:r>
        <w:rPr>
          <w:rFonts w:cs="Times New Roman"/>
          <w:b/>
        </w:rPr>
        <w:t>提升危险废物收集处置能力。</w:t>
      </w:r>
      <w:r>
        <w:rPr>
          <w:rFonts w:cs="Times New Roman"/>
        </w:rPr>
        <w:t>健全危险废物收运体系，危险废物年产生量大于1万吨的工业园区配套建</w:t>
      </w:r>
      <w:r>
        <w:rPr>
          <w:rFonts w:hint="eastAsia" w:cs="Times New Roman"/>
        </w:rPr>
        <w:t>设</w:t>
      </w:r>
      <w:r>
        <w:rPr>
          <w:rFonts w:cs="Times New Roman"/>
        </w:rPr>
        <w:t>集中收贮点。实施山西国金电力200万吨/年水泥生产线建设工程，利用水泥窑协同处置危险废物。鼓励危险废物专业收集转运和利用处置单位建设区域性收集网点和贮存设施，重点服务小微企业，同时兼顾机关事业单位、科研机构和学校等单位及社会源产生的危险废物。落实国家关于危险废物</w:t>
      </w:r>
      <w:r>
        <w:rPr>
          <w:rFonts w:hint="eastAsia" w:cs="Times New Roman"/>
          <w:lang w:eastAsia="zh-CN"/>
        </w:rPr>
        <w:t>“</w:t>
      </w:r>
      <w:r>
        <w:rPr>
          <w:rFonts w:hint="eastAsia" w:cs="Times New Roman"/>
        </w:rPr>
        <w:t>点对点</w:t>
      </w:r>
      <w:r>
        <w:rPr>
          <w:rFonts w:hint="eastAsia" w:cs="Times New Roman"/>
          <w:lang w:eastAsia="zh-CN"/>
        </w:rPr>
        <w:t>”</w:t>
      </w:r>
      <w:r>
        <w:rPr>
          <w:rFonts w:hint="eastAsia" w:cs="Times New Roman"/>
        </w:rPr>
        <w:t>定向利用许可证豁免管理的相关政策要求，在风险可控前提下，鼓励开展可利用类危险废物</w:t>
      </w:r>
      <w:r>
        <w:rPr>
          <w:rFonts w:hint="eastAsia" w:cs="Times New Roman"/>
          <w:lang w:eastAsia="zh-CN"/>
        </w:rPr>
        <w:t>“</w:t>
      </w:r>
      <w:r>
        <w:rPr>
          <w:rFonts w:hint="eastAsia" w:cs="Times New Roman"/>
        </w:rPr>
        <w:t>点对点</w:t>
      </w:r>
      <w:r>
        <w:rPr>
          <w:rFonts w:hint="eastAsia" w:cs="Times New Roman"/>
          <w:lang w:eastAsia="zh-CN"/>
        </w:rPr>
        <w:t>”</w:t>
      </w:r>
      <w:r>
        <w:rPr>
          <w:rFonts w:hint="eastAsia" w:cs="Times New Roman"/>
        </w:rPr>
        <w:t>定向利用。加强重点危险废物产生和经营单位危险废物规范化环境管理评估，开展危险废物经营单位绩效评价工作。持续推进危险废物环境管理信息化工作，提升危险废物环境监管智能化水平。到</w:t>
      </w:r>
      <w:r>
        <w:rPr>
          <w:rFonts w:cs="Times New Roman"/>
        </w:rPr>
        <w:t>2027</w:t>
      </w:r>
      <w:r>
        <w:rPr>
          <w:rFonts w:hint="eastAsia" w:cs="Times New Roman"/>
        </w:rPr>
        <w:t>年，危险废物无害化处置水平显著提升；到</w:t>
      </w:r>
      <w:r>
        <w:rPr>
          <w:rFonts w:cs="Times New Roman"/>
        </w:rPr>
        <w:t>2035</w:t>
      </w:r>
      <w:r>
        <w:rPr>
          <w:rFonts w:hint="eastAsia" w:cs="Times New Roman"/>
        </w:rPr>
        <w:t>年，危险废物全面实现安全利用处置。</w:t>
      </w:r>
      <w:r>
        <w:rPr>
          <w:rFonts w:hint="eastAsia" w:eastAsia="楷体" w:cs="Times New Roman"/>
        </w:rPr>
        <w:t>（市生态环境局文水分局、县工科局、文水经济开发区管委会、县卫健局）</w:t>
      </w:r>
    </w:p>
    <w:p>
      <w:pPr>
        <w:pStyle w:val="2"/>
        <w:ind w:firstLine="643"/>
        <w:rPr>
          <w:rFonts w:cs="Times New Roman"/>
        </w:rPr>
      </w:pPr>
      <w:r>
        <w:rPr>
          <w:rFonts w:hint="eastAsia" w:cs="Times New Roman"/>
          <w:b/>
        </w:rPr>
        <w:t>加强固体废物全过程监管。</w:t>
      </w:r>
      <w:r>
        <w:rPr>
          <w:rFonts w:hint="eastAsia" w:cs="Times New Roman"/>
        </w:rPr>
        <w:t>全面摸底排查一般工业固体废物堆存场所，建立环境监管全口径清单和问题堆场清单，加强对国金电力龙王庙灰场和赤峪煤矿章多沟矸石场治理。建设工业固体废物产生及利用处置数据库，完善重点监管企业清单，严格大宗工业固体废物申报登记管理。加强工业固体废物产生、收集、贮存、转移、利用、处置全过程监管，开展固体废物非法转移和倾倒的联防联控。规范建筑垃圾堆放、中转和资源化利用场所建设和运营，推动建筑垃圾综合利用产品应用。有序推进塑料污染治理，加强农膜生产、销售、使用、回收、再利用等环节的全链条监管。到</w:t>
      </w:r>
      <w:r>
        <w:rPr>
          <w:rFonts w:cs="Times New Roman"/>
        </w:rPr>
        <w:t>2027</w:t>
      </w:r>
      <w:r>
        <w:rPr>
          <w:rFonts w:hint="eastAsia" w:cs="Times New Roman"/>
        </w:rPr>
        <w:t>年，固体废物源头减量、资源化利用水平显著提升；到</w:t>
      </w:r>
      <w:r>
        <w:rPr>
          <w:rFonts w:cs="Times New Roman"/>
        </w:rPr>
        <w:t>2035</w:t>
      </w:r>
      <w:r>
        <w:rPr>
          <w:rFonts w:hint="eastAsia" w:cs="Times New Roman"/>
        </w:rPr>
        <w:t>年，全面实现各类固体废物精细化管理。</w:t>
      </w:r>
      <w:r>
        <w:rPr>
          <w:rFonts w:hint="eastAsia" w:eastAsia="楷体" w:cs="Times New Roman"/>
        </w:rPr>
        <w:t>（市生态环境局文水分局、县工科局）</w:t>
      </w:r>
    </w:p>
    <w:p>
      <w:pPr>
        <w:pStyle w:val="2"/>
        <w:ind w:firstLine="643"/>
        <w:rPr>
          <w:rFonts w:cs="Times New Roman"/>
        </w:rPr>
      </w:pPr>
      <w:r>
        <w:rPr>
          <w:rFonts w:hint="eastAsia" w:cs="Times New Roman"/>
          <w:b/>
        </w:rPr>
        <w:t>加强新污染物管控。</w:t>
      </w:r>
      <w:r>
        <w:rPr>
          <w:rFonts w:hint="eastAsia" w:cs="Times New Roman"/>
        </w:rPr>
        <w:t>严格落实化学物质环境信息调查、环境调查监测、环境风险筛选和评估等制度。建立</w:t>
      </w:r>
      <w:r>
        <w:rPr>
          <w:rFonts w:hint="eastAsia" w:cs="Times New Roman"/>
          <w:lang w:eastAsia="zh-CN"/>
        </w:rPr>
        <w:t>“</w:t>
      </w:r>
      <w:r>
        <w:rPr>
          <w:rFonts w:hint="eastAsia" w:cs="Times New Roman"/>
        </w:rPr>
        <w:t>一清单和一名单</w:t>
      </w:r>
      <w:r>
        <w:rPr>
          <w:rFonts w:hint="eastAsia" w:cs="Times New Roman"/>
          <w:lang w:eastAsia="zh-CN"/>
        </w:rPr>
        <w:t>”</w:t>
      </w:r>
      <w:r>
        <w:rPr>
          <w:rFonts w:hint="eastAsia" w:cs="Times New Roman"/>
        </w:rPr>
        <w:t>，搭建新污染物环境信息调查数据库，开展环境与健康危害测试和风险筛查，动态更新管控措施。推动企业全面落实新化学物质环境管理登记制度，按照重点管控新污染物清单要求，禁止、限制重点管控新污染物的生产、加工使用和进出口。到</w:t>
      </w:r>
      <w:r>
        <w:rPr>
          <w:rFonts w:cs="Times New Roman"/>
        </w:rPr>
        <w:t>2035</w:t>
      </w:r>
      <w:r>
        <w:rPr>
          <w:rFonts w:hint="eastAsia" w:cs="Times New Roman"/>
        </w:rPr>
        <w:t>年，新污染物环境风险得到有效管控。</w:t>
      </w:r>
      <w:r>
        <w:rPr>
          <w:rFonts w:hint="eastAsia" w:eastAsia="楷体" w:cs="Times New Roman"/>
        </w:rPr>
        <w:t>（市生态环境局文水分局）</w:t>
      </w:r>
    </w:p>
    <w:p>
      <w:pPr>
        <w:pStyle w:val="2"/>
        <w:ind w:firstLine="643"/>
        <w:rPr>
          <w:rFonts w:cs="Times New Roman"/>
        </w:rPr>
      </w:pPr>
      <w:r>
        <w:rPr>
          <w:rFonts w:hint="eastAsia" w:cs="Times New Roman"/>
          <w:b/>
        </w:rPr>
        <w:t>全面开展</w:t>
      </w:r>
      <w:r>
        <w:rPr>
          <w:rFonts w:hint="eastAsia" w:cs="Times New Roman"/>
          <w:b/>
          <w:lang w:eastAsia="zh-CN"/>
        </w:rPr>
        <w:t>“</w:t>
      </w:r>
      <w:r>
        <w:rPr>
          <w:rFonts w:hint="eastAsia" w:cs="Times New Roman"/>
          <w:b/>
        </w:rPr>
        <w:t>无废细胞</w:t>
      </w:r>
      <w:r>
        <w:rPr>
          <w:rFonts w:hint="eastAsia" w:cs="Times New Roman"/>
          <w:b/>
          <w:lang w:eastAsia="zh-CN"/>
        </w:rPr>
        <w:t>”</w:t>
      </w:r>
      <w:r>
        <w:rPr>
          <w:rFonts w:hint="eastAsia" w:cs="Times New Roman"/>
          <w:b/>
        </w:rPr>
        <w:t>建设。</w:t>
      </w:r>
      <w:r>
        <w:rPr>
          <w:rFonts w:hint="eastAsia" w:cs="Times New Roman"/>
        </w:rPr>
        <w:t>以无废园区、无废集团、无废工厂、无废校园、无废机关等为重点，优先选择引领示范性强的社会单元先行先试，分步分批推进</w:t>
      </w:r>
      <w:r>
        <w:rPr>
          <w:rFonts w:hint="eastAsia" w:cs="Times New Roman"/>
          <w:lang w:eastAsia="zh-CN"/>
        </w:rPr>
        <w:t>“</w:t>
      </w:r>
      <w:r>
        <w:rPr>
          <w:rFonts w:hint="eastAsia" w:cs="Times New Roman"/>
        </w:rPr>
        <w:t>无废细胞</w:t>
      </w:r>
      <w:r>
        <w:rPr>
          <w:rFonts w:hint="eastAsia" w:cs="Times New Roman"/>
          <w:lang w:eastAsia="zh-CN"/>
        </w:rPr>
        <w:t>”</w:t>
      </w:r>
      <w:r>
        <w:rPr>
          <w:rFonts w:hint="eastAsia" w:cs="Times New Roman"/>
        </w:rPr>
        <w:t>创建，形成覆盖工业源和生活源固体废物的综合管理模式，推动实现绿色生产生活方式。到</w:t>
      </w:r>
      <w:r>
        <w:rPr>
          <w:rFonts w:cs="Times New Roman"/>
        </w:rPr>
        <w:t>2027</w:t>
      </w:r>
      <w:r>
        <w:rPr>
          <w:rFonts w:hint="eastAsia" w:cs="Times New Roman"/>
        </w:rPr>
        <w:t>年，</w:t>
      </w:r>
      <w:r>
        <w:rPr>
          <w:rFonts w:hint="eastAsia" w:cs="Times New Roman"/>
          <w:lang w:eastAsia="zh-CN"/>
        </w:rPr>
        <w:t>“</w:t>
      </w:r>
      <w:r>
        <w:rPr>
          <w:rFonts w:hint="eastAsia" w:cs="Times New Roman"/>
        </w:rPr>
        <w:t>无废</w:t>
      </w:r>
      <w:r>
        <w:rPr>
          <w:rFonts w:hint="eastAsia" w:cs="Times New Roman"/>
          <w:lang w:eastAsia="zh-CN"/>
        </w:rPr>
        <w:t>”</w:t>
      </w:r>
      <w:r>
        <w:rPr>
          <w:rFonts w:hint="eastAsia" w:cs="Times New Roman"/>
        </w:rPr>
        <w:t>理念全面普及，</w:t>
      </w:r>
      <w:r>
        <w:rPr>
          <w:rFonts w:hint="eastAsia" w:cs="Times New Roman"/>
          <w:lang w:eastAsia="zh-CN"/>
        </w:rPr>
        <w:t>“</w:t>
      </w:r>
      <w:r>
        <w:rPr>
          <w:rFonts w:hint="eastAsia" w:cs="Times New Roman"/>
        </w:rPr>
        <w:t>无废细胞</w:t>
      </w:r>
      <w:r>
        <w:rPr>
          <w:rFonts w:hint="eastAsia" w:cs="Times New Roman"/>
          <w:lang w:eastAsia="zh-CN"/>
        </w:rPr>
        <w:t>”</w:t>
      </w:r>
      <w:r>
        <w:rPr>
          <w:rFonts w:hint="eastAsia" w:cs="Times New Roman"/>
        </w:rPr>
        <w:t>创建行动全面开展，</w:t>
      </w:r>
      <w:r>
        <w:rPr>
          <w:rFonts w:hint="eastAsia" w:cs="Times New Roman"/>
          <w:lang w:eastAsia="zh-CN"/>
        </w:rPr>
        <w:t>“</w:t>
      </w:r>
      <w:r>
        <w:rPr>
          <w:rFonts w:hint="eastAsia" w:cs="Times New Roman"/>
        </w:rPr>
        <w:t>无废细胞</w:t>
      </w:r>
      <w:r>
        <w:rPr>
          <w:rFonts w:hint="eastAsia" w:cs="Times New Roman"/>
          <w:lang w:eastAsia="zh-CN"/>
        </w:rPr>
        <w:t>”</w:t>
      </w:r>
      <w:r>
        <w:rPr>
          <w:rFonts w:hint="eastAsia" w:cs="Times New Roman"/>
        </w:rPr>
        <w:t>创建的长效机制有效建立。</w:t>
      </w:r>
      <w:r>
        <w:rPr>
          <w:rFonts w:hint="eastAsia" w:eastAsia="楷体" w:cs="Times New Roman"/>
        </w:rPr>
        <w:t>（县工科局、县教体局）</w:t>
      </w:r>
    </w:p>
    <w:p>
      <w:pPr>
        <w:pStyle w:val="4"/>
        <w:spacing w:before="240" w:after="240"/>
        <w:ind w:firstLine="640"/>
        <w:jc w:val="both"/>
        <w:rPr>
          <w:rFonts w:cs="Times New Roman"/>
        </w:rPr>
      </w:pPr>
      <w:bookmarkStart w:id="136" w:name="_Toc25428"/>
      <w:bookmarkStart w:id="137" w:name="_Toc177067100"/>
      <w:bookmarkStart w:id="138" w:name="_Toc176974247"/>
      <w:bookmarkStart w:id="139" w:name="_Toc8415"/>
      <w:bookmarkStart w:id="140" w:name="_Toc1506"/>
      <w:r>
        <w:rPr>
          <w:rFonts w:hint="eastAsia" w:cs="Times New Roman"/>
          <w:lang w:val="en-US" w:eastAsia="zh-CN"/>
        </w:rPr>
        <w:t>四</w:t>
      </w:r>
      <w:r>
        <w:rPr>
          <w:rFonts w:hint="eastAsia" w:cs="Times New Roman"/>
        </w:rPr>
        <w:t>、有效防范生态环境领域风险，筑牢</w:t>
      </w:r>
      <w:r>
        <w:rPr>
          <w:rFonts w:hint="eastAsia" w:cs="Times New Roman"/>
          <w:lang w:eastAsia="zh-CN"/>
        </w:rPr>
        <w:t>“</w:t>
      </w:r>
      <w:r>
        <w:rPr>
          <w:rFonts w:hint="eastAsia" w:cs="Times New Roman"/>
        </w:rPr>
        <w:t>全域联动、立体高效</w:t>
      </w:r>
      <w:r>
        <w:rPr>
          <w:rFonts w:hint="eastAsia" w:cs="Times New Roman"/>
          <w:lang w:eastAsia="zh-CN"/>
        </w:rPr>
        <w:t>”</w:t>
      </w:r>
      <w:r>
        <w:rPr>
          <w:rFonts w:hint="eastAsia" w:cs="Times New Roman"/>
        </w:rPr>
        <w:t>的安全防线</w:t>
      </w:r>
      <w:bookmarkEnd w:id="136"/>
      <w:bookmarkEnd w:id="137"/>
      <w:bookmarkEnd w:id="138"/>
      <w:bookmarkEnd w:id="139"/>
      <w:bookmarkEnd w:id="140"/>
    </w:p>
    <w:p>
      <w:pPr>
        <w:pStyle w:val="5"/>
        <w:spacing w:before="156" w:after="156" w:line="240" w:lineRule="auto"/>
        <w:ind w:firstLine="643"/>
        <w:rPr>
          <w:rFonts w:cs="Times New Roman"/>
        </w:rPr>
      </w:pPr>
      <w:bookmarkStart w:id="141" w:name="_Toc13024"/>
      <w:bookmarkStart w:id="142" w:name="_Toc30497"/>
      <w:bookmarkStart w:id="143" w:name="_Toc176974248"/>
      <w:bookmarkStart w:id="144" w:name="_Toc13901"/>
      <w:bookmarkStart w:id="145" w:name="_Toc177067101"/>
      <w:r>
        <w:rPr>
          <w:rFonts w:cs="Times New Roman"/>
        </w:rPr>
        <w:t>（一）强化环境风险应急响应</w:t>
      </w:r>
      <w:bookmarkEnd w:id="141"/>
      <w:bookmarkEnd w:id="142"/>
      <w:bookmarkEnd w:id="143"/>
      <w:bookmarkEnd w:id="144"/>
      <w:bookmarkEnd w:id="145"/>
    </w:p>
    <w:p>
      <w:pPr>
        <w:spacing w:line="600" w:lineRule="exact"/>
        <w:ind w:firstLine="643"/>
        <w:rPr>
          <w:rFonts w:eastAsia="楷体" w:cs="Times New Roman"/>
          <w:bCs/>
        </w:rPr>
      </w:pPr>
      <w:r>
        <w:rPr>
          <w:rFonts w:hint="eastAsia" w:cs="Times New Roman"/>
          <w:b/>
        </w:rPr>
        <w:t>严密防控环境风险</w:t>
      </w:r>
      <w:r>
        <w:rPr>
          <w:rFonts w:cs="Times New Roman"/>
          <w:b/>
        </w:rPr>
        <w:t>。</w:t>
      </w:r>
      <w:r>
        <w:rPr>
          <w:rFonts w:hint="eastAsia" w:cs="Times New Roman"/>
        </w:rPr>
        <w:t>健全完善生态环境风险报告和预警机制，</w:t>
      </w:r>
      <w:r>
        <w:rPr>
          <w:rFonts w:cs="Times New Roman"/>
          <w:bCs/>
        </w:rPr>
        <w:t>完善突发环境应急管理工作职责分工，建立专业的环境污染突发事故预警和应急体系，完善跨区域、跨部门的突发环境事件应急协调机制，提高突发环境事件应急处置能力。强化企业环境风险防控及应急预案体系建设，加强企业环境安全隐患排查治理监督，推动重点企业环境风险评估和应急响应能力建设，组织开展环境应急演练。完善配备应急事故的监测和执法装备，配备核与辐射环境事故、危险废物污染事故等应急监测和处置设备。到2035年，建立与基本实现现代化相适应的生态环境风险防控</w:t>
      </w:r>
      <w:r>
        <w:rPr>
          <w:rFonts w:hint="eastAsia" w:cs="Times New Roman"/>
          <w:bCs/>
        </w:rPr>
        <w:t>与应急体系，公众环境健康与安全得到有效保障。</w:t>
      </w:r>
      <w:r>
        <w:rPr>
          <w:rFonts w:hint="eastAsia" w:eastAsia="楷体" w:cs="Times New Roman"/>
          <w:bCs/>
        </w:rPr>
        <w:t>（县应急管理局、市生态环境局文水分局）</w:t>
      </w:r>
    </w:p>
    <w:p>
      <w:pPr>
        <w:pStyle w:val="5"/>
        <w:spacing w:before="156" w:after="156" w:line="240" w:lineRule="auto"/>
        <w:ind w:firstLine="643"/>
        <w:rPr>
          <w:rFonts w:cs="Times New Roman"/>
        </w:rPr>
      </w:pPr>
      <w:bookmarkStart w:id="146" w:name="_Toc18616"/>
      <w:bookmarkStart w:id="147" w:name="_Toc176974249"/>
      <w:bookmarkStart w:id="148" w:name="_Toc15058"/>
      <w:bookmarkStart w:id="149" w:name="_Toc177067102"/>
      <w:bookmarkStart w:id="150" w:name="_Toc10247"/>
      <w:r>
        <w:rPr>
          <w:rFonts w:cs="Times New Roman"/>
        </w:rPr>
        <w:t>（二）加强核与辐射安全监管</w:t>
      </w:r>
      <w:bookmarkEnd w:id="146"/>
      <w:bookmarkEnd w:id="147"/>
      <w:bookmarkEnd w:id="148"/>
      <w:bookmarkEnd w:id="149"/>
      <w:bookmarkEnd w:id="150"/>
    </w:p>
    <w:p>
      <w:pPr>
        <w:pStyle w:val="2"/>
        <w:ind w:firstLine="643"/>
        <w:rPr>
          <w:rFonts w:cs="Times New Roman"/>
        </w:rPr>
      </w:pPr>
      <w:r>
        <w:rPr>
          <w:rFonts w:cs="Times New Roman"/>
          <w:b/>
          <w:bCs/>
        </w:rPr>
        <w:t>完善辐射安全监管体系。</w:t>
      </w:r>
      <w:r>
        <w:rPr>
          <w:rFonts w:cs="Times New Roman"/>
          <w:bCs/>
        </w:rPr>
        <w:t>加强核与辐射安全监管，规范辐射安全许可制度。推动应急能力建设，全面推进核与辐射安全监管现代化、信息化，实现核与辐射安全监管与核技术利用、电磁辐射应用同步发展。加大核与辐射安全执法力度，确保执法全过程留痕和可回溯管理。督促涉核与辐射单位全面落实主体责任，严格防范核与辐射环境安全风险。</w:t>
      </w:r>
      <w:r>
        <w:rPr>
          <w:rFonts w:eastAsia="楷体" w:cs="Times New Roman"/>
        </w:rPr>
        <w:t>（市生态环境局文水分局）</w:t>
      </w:r>
    </w:p>
    <w:p>
      <w:pPr>
        <w:pStyle w:val="5"/>
        <w:spacing w:before="156" w:after="156" w:line="240" w:lineRule="auto"/>
        <w:ind w:firstLine="643"/>
        <w:rPr>
          <w:rFonts w:cs="Times New Roman"/>
        </w:rPr>
      </w:pPr>
      <w:bookmarkStart w:id="151" w:name="_Toc177067103"/>
      <w:bookmarkStart w:id="152" w:name="_Toc32714"/>
      <w:bookmarkStart w:id="153" w:name="_Toc9490"/>
      <w:bookmarkStart w:id="154" w:name="_Toc176974250"/>
      <w:bookmarkStart w:id="155" w:name="_Toc3437"/>
      <w:r>
        <w:rPr>
          <w:rFonts w:cs="Times New Roman"/>
        </w:rPr>
        <w:t>（三）切实防范自然灾害风险</w:t>
      </w:r>
      <w:bookmarkEnd w:id="151"/>
      <w:bookmarkEnd w:id="152"/>
      <w:bookmarkEnd w:id="153"/>
      <w:bookmarkEnd w:id="154"/>
      <w:bookmarkEnd w:id="155"/>
    </w:p>
    <w:p>
      <w:pPr>
        <w:pStyle w:val="2"/>
        <w:ind w:firstLine="643"/>
        <w:rPr>
          <w:rFonts w:cs="Times New Roman"/>
        </w:rPr>
      </w:pPr>
      <w:r>
        <w:rPr>
          <w:rFonts w:cs="Times New Roman"/>
          <w:b/>
        </w:rPr>
        <w:t>加强自然灾害风险防范。</w:t>
      </w:r>
      <w:r>
        <w:rPr>
          <w:rFonts w:cs="Times New Roman"/>
        </w:rPr>
        <w:t>将气候变化风险防控纳入相关区域发展规划，并将其作为重大工程项目和基础设施建设的决策基础。加强极端天气气候事件风险监测预警和应急管理，完善气候变化综合观测网络和极端事件监测预警，构建多灾种和灾害链监测预警</w:t>
      </w:r>
      <w:r>
        <w:rPr>
          <w:rFonts w:hint="eastAsia" w:cs="Times New Roman"/>
          <w:lang w:eastAsia="zh-CN"/>
        </w:rPr>
        <w:t>“</w:t>
      </w:r>
      <w:r>
        <w:rPr>
          <w:rFonts w:cs="Times New Roman"/>
        </w:rPr>
        <w:t>空、天、地</w:t>
      </w:r>
      <w:r>
        <w:rPr>
          <w:rFonts w:hint="eastAsia" w:cs="Times New Roman"/>
          <w:lang w:eastAsia="zh-CN"/>
        </w:rPr>
        <w:t>”</w:t>
      </w:r>
      <w:r>
        <w:rPr>
          <w:rFonts w:hint="eastAsia" w:cs="Times New Roman"/>
        </w:rPr>
        <w:t>一体化网络，推进各涉灾部门专业监测预警与应急管理部门综合监测预警融合发展，实现监测预警、风险研判、灾情会商等场景应用。完善气候灾害风险管理，建立应对极端气候事件的预案和行动方案。到</w:t>
      </w:r>
      <w:r>
        <w:rPr>
          <w:rFonts w:cs="Times New Roman"/>
        </w:rPr>
        <w:t>2030</w:t>
      </w:r>
      <w:r>
        <w:rPr>
          <w:rFonts w:hint="eastAsia" w:cs="Times New Roman"/>
        </w:rPr>
        <w:t>年，气候适应型社会建设取得阶段性成效；到</w:t>
      </w:r>
      <w:r>
        <w:rPr>
          <w:rFonts w:cs="Times New Roman"/>
        </w:rPr>
        <w:t>2035</w:t>
      </w:r>
      <w:r>
        <w:rPr>
          <w:rFonts w:hint="eastAsia" w:cs="Times New Roman"/>
        </w:rPr>
        <w:t>年，气候适应型社会基本建成。</w:t>
      </w:r>
      <w:r>
        <w:rPr>
          <w:rFonts w:hint="eastAsia" w:eastAsia="楷体" w:cs="Times New Roman"/>
        </w:rPr>
        <w:t>（县应急局、县水利局、县气象局、市生态环境局文水分局）</w:t>
      </w:r>
    </w:p>
    <w:p>
      <w:pPr>
        <w:pStyle w:val="2"/>
        <w:ind w:firstLine="643"/>
        <w:rPr>
          <w:rFonts w:cs="Times New Roman"/>
        </w:rPr>
      </w:pPr>
      <w:r>
        <w:rPr>
          <w:rFonts w:hint="eastAsia" w:cs="Times New Roman"/>
          <w:b/>
        </w:rPr>
        <w:t>强化生物安全管理。</w:t>
      </w:r>
      <w:r>
        <w:rPr>
          <w:rFonts w:hint="eastAsia" w:cs="Times New Roman"/>
        </w:rPr>
        <w:t>完善外来物种入侵防范体系，加强外来物种引入审批管理，开展外来入侵生物安全性评价。加强生物技术及其产品的环境风险检测、识别和评价，重点防治松材线虫病和美国白蛾等有害生物。开展外来入侵物种普查、监测预警、影响评估，加强进境动植物检疫，防控外来物种侵害。</w:t>
      </w:r>
      <w:r>
        <w:rPr>
          <w:rFonts w:hint="eastAsia" w:eastAsia="楷体" w:cs="Times New Roman"/>
        </w:rPr>
        <w:t>（县农业农村局、县林业局）</w:t>
      </w:r>
    </w:p>
    <w:p>
      <w:pPr>
        <w:pStyle w:val="4"/>
        <w:spacing w:before="240" w:after="240"/>
        <w:ind w:firstLine="640"/>
        <w:jc w:val="both"/>
        <w:rPr>
          <w:rFonts w:cs="Times New Roman"/>
        </w:rPr>
      </w:pPr>
      <w:bookmarkStart w:id="156" w:name="_Toc176974251"/>
      <w:bookmarkStart w:id="157" w:name="_Toc177067104"/>
      <w:bookmarkStart w:id="158" w:name="_Toc12694"/>
      <w:bookmarkStart w:id="159" w:name="_Toc5735"/>
      <w:bookmarkStart w:id="160" w:name="_Toc26040"/>
      <w:r>
        <w:rPr>
          <w:rFonts w:hint="eastAsia" w:cs="Times New Roman"/>
          <w:lang w:val="en-US" w:eastAsia="zh-CN"/>
        </w:rPr>
        <w:t>五</w:t>
      </w:r>
      <w:r>
        <w:rPr>
          <w:rFonts w:hint="eastAsia" w:cs="Times New Roman"/>
        </w:rPr>
        <w:t>、</w:t>
      </w:r>
      <w:bookmarkEnd w:id="76"/>
      <w:bookmarkEnd w:id="77"/>
      <w:r>
        <w:rPr>
          <w:rFonts w:hint="eastAsia" w:cs="Times New Roman"/>
        </w:rPr>
        <w:t>提升生态系统多样性稳定性持续性，塑造</w:t>
      </w:r>
      <w:r>
        <w:rPr>
          <w:rFonts w:hint="eastAsia" w:cs="Times New Roman"/>
          <w:lang w:eastAsia="zh-CN"/>
        </w:rPr>
        <w:t>“</w:t>
      </w:r>
      <w:r>
        <w:rPr>
          <w:rFonts w:hint="eastAsia" w:cs="Times New Roman"/>
        </w:rPr>
        <w:t>生机盎然、相依相存</w:t>
      </w:r>
      <w:r>
        <w:rPr>
          <w:rFonts w:hint="eastAsia" w:cs="Times New Roman"/>
          <w:lang w:eastAsia="zh-CN"/>
        </w:rPr>
        <w:t>”</w:t>
      </w:r>
      <w:r>
        <w:rPr>
          <w:rFonts w:hint="eastAsia" w:cs="Times New Roman"/>
        </w:rPr>
        <w:t>的自然生态</w:t>
      </w:r>
      <w:bookmarkEnd w:id="156"/>
      <w:bookmarkEnd w:id="157"/>
      <w:bookmarkEnd w:id="158"/>
      <w:bookmarkEnd w:id="159"/>
      <w:bookmarkEnd w:id="160"/>
    </w:p>
    <w:p>
      <w:pPr>
        <w:pStyle w:val="5"/>
        <w:spacing w:before="156" w:after="156" w:line="240" w:lineRule="auto"/>
        <w:ind w:firstLine="643"/>
        <w:rPr>
          <w:rFonts w:cs="Times New Roman"/>
        </w:rPr>
      </w:pPr>
      <w:bookmarkStart w:id="161" w:name="_Toc21042"/>
      <w:bookmarkStart w:id="162" w:name="_Toc28209"/>
      <w:bookmarkStart w:id="163" w:name="_Toc175895996"/>
      <w:bookmarkStart w:id="164" w:name="_Toc12582"/>
      <w:bookmarkStart w:id="165" w:name="_Toc177067105"/>
      <w:bookmarkStart w:id="166" w:name="_Toc176974252"/>
      <w:r>
        <w:rPr>
          <w:rFonts w:cs="Times New Roman"/>
        </w:rPr>
        <w:t>（一）推动三生空间融合</w:t>
      </w:r>
      <w:bookmarkEnd w:id="161"/>
      <w:bookmarkEnd w:id="162"/>
      <w:bookmarkEnd w:id="163"/>
      <w:bookmarkEnd w:id="164"/>
      <w:bookmarkEnd w:id="165"/>
      <w:bookmarkEnd w:id="166"/>
    </w:p>
    <w:p>
      <w:pPr>
        <w:adjustRightInd w:val="0"/>
        <w:snapToGrid w:val="0"/>
        <w:spacing w:line="580" w:lineRule="exact"/>
        <w:ind w:firstLine="643"/>
        <w:rPr>
          <w:rFonts w:cs="Times New Roman"/>
          <w:highlight w:val="yellow"/>
        </w:rPr>
      </w:pPr>
      <w:r>
        <w:rPr>
          <w:rFonts w:cs="Times New Roman"/>
          <w:b/>
          <w:bCs/>
        </w:rPr>
        <w:t>打造绿色高效的工业空间。</w:t>
      </w:r>
      <w:r>
        <w:rPr>
          <w:rFonts w:cs="Times New Roman"/>
        </w:rPr>
        <w:t>坚持以资源环境承载能力为刚性约束条件，以</w:t>
      </w:r>
      <w:r>
        <w:rPr>
          <w:rFonts w:hint="eastAsia" w:cs="Times New Roman"/>
          <w:lang w:eastAsia="zh-CN"/>
        </w:rPr>
        <w:t>“</w:t>
      </w:r>
      <w:r>
        <w:rPr>
          <w:rFonts w:cs="Times New Roman"/>
        </w:rPr>
        <w:t>高端化、智能化、绿色化、服务化</w:t>
      </w:r>
      <w:r>
        <w:rPr>
          <w:rFonts w:hint="eastAsia" w:cs="Times New Roman"/>
          <w:lang w:eastAsia="zh-CN"/>
        </w:rPr>
        <w:t>”</w:t>
      </w:r>
      <w:r>
        <w:rPr>
          <w:rFonts w:cs="Times New Roman"/>
        </w:rPr>
        <w:t>为目标，打造规模适度、空间有序、用地集约的</w:t>
      </w:r>
      <w:r>
        <w:rPr>
          <w:rFonts w:hint="eastAsia" w:cs="Times New Roman"/>
          <w:lang w:eastAsia="zh-CN"/>
        </w:rPr>
        <w:t>“</w:t>
      </w:r>
      <w:r>
        <w:rPr>
          <w:rFonts w:cs="Times New Roman"/>
        </w:rPr>
        <w:t>一区四园</w:t>
      </w:r>
      <w:r>
        <w:rPr>
          <w:rFonts w:hint="eastAsia" w:cs="Times New Roman"/>
          <w:lang w:eastAsia="zh-CN"/>
        </w:rPr>
        <w:t>”</w:t>
      </w:r>
      <w:r>
        <w:rPr>
          <w:rFonts w:cs="Times New Roman"/>
        </w:rPr>
        <w:t>的</w:t>
      </w:r>
      <w:r>
        <w:rPr>
          <w:rFonts w:hint="eastAsia" w:cs="Times New Roman"/>
        </w:rPr>
        <w:t>产</w:t>
      </w:r>
      <w:r>
        <w:rPr>
          <w:rFonts w:cs="Times New Roman"/>
        </w:rPr>
        <w:t>业空间格局</w:t>
      </w:r>
      <w:r>
        <w:rPr>
          <w:rFonts w:hint="eastAsia" w:cs="Times New Roman"/>
          <w:highlight w:val="none"/>
        </w:rPr>
        <w:t>。聚焦文水经济开发区，重点打造</w:t>
      </w:r>
      <w:r>
        <w:rPr>
          <w:rFonts w:cs="Times New Roman"/>
        </w:rPr>
        <w:t>以电力、光伏、焦化、煤化工等传统产业为主导的百金堡产业园，以新型金属材料产业为主导的桑村产业园，以装备制造和新材料产业为主导的东庄产业园，以白酒制造、农副产品加工等特色产业为主导的南安产业园。</w:t>
      </w:r>
      <w:r>
        <w:rPr>
          <w:rFonts w:eastAsia="楷体" w:cs="Times New Roman"/>
        </w:rPr>
        <w:t>（县工科局、县发改局、文水经济开发区管委会）</w:t>
      </w:r>
    </w:p>
    <w:p>
      <w:pPr>
        <w:adjustRightInd w:val="0"/>
        <w:snapToGrid w:val="0"/>
        <w:spacing w:line="580" w:lineRule="exact"/>
        <w:ind w:firstLine="643"/>
        <w:rPr>
          <w:rFonts w:cs="Times New Roman"/>
        </w:rPr>
      </w:pPr>
      <w:r>
        <w:rPr>
          <w:rFonts w:cs="Times New Roman"/>
          <w:b/>
          <w:bCs/>
        </w:rPr>
        <w:t>打造农文旅融合的发展空间。</w:t>
      </w:r>
      <w:r>
        <w:rPr>
          <w:rFonts w:cs="Times New Roman"/>
        </w:rPr>
        <w:t>以刘胡兰镇肉牛产业园为核心，打造肉牛、肉鸡、生猪三个</w:t>
      </w:r>
      <w:r>
        <w:rPr>
          <w:rFonts w:hint="eastAsia" w:cs="Times New Roman"/>
          <w:lang w:eastAsia="zh-CN"/>
        </w:rPr>
        <w:t>“</w:t>
      </w:r>
      <w:r>
        <w:rPr>
          <w:rFonts w:cs="Times New Roman"/>
        </w:rPr>
        <w:t>百亿</w:t>
      </w:r>
      <w:r>
        <w:rPr>
          <w:rFonts w:hint="eastAsia" w:cs="Times New Roman"/>
          <w:lang w:eastAsia="zh-CN"/>
        </w:rPr>
        <w:t>”</w:t>
      </w:r>
      <w:r>
        <w:rPr>
          <w:rFonts w:cs="Times New Roman"/>
        </w:rPr>
        <w:t>级现代化农业产业，逐步形成特色优势农产品精深加工驱动核。整合县城、苍儿会生态旅游区、刘胡兰纪念馆等重要旅游资源打造农文旅产业融合发展示范带</w:t>
      </w:r>
      <w:r>
        <w:rPr>
          <w:rFonts w:hint="eastAsia" w:cs="Times New Roman"/>
        </w:rPr>
        <w:t>。</w:t>
      </w:r>
      <w:r>
        <w:rPr>
          <w:rFonts w:cs="Times New Roman"/>
        </w:rPr>
        <w:t>串联东部沿汾河一线，打造由南安万亩梨园、刘胡兰红色小镇、世泰湖湿地公园、下曲古民居特色水乡小镇等构成的生态宜居休闲体验带。</w:t>
      </w:r>
      <w:r>
        <w:rPr>
          <w:rFonts w:hint="eastAsia" w:cs="Times New Roman"/>
        </w:rPr>
        <w:t>推动县域东中西部地区差异化协调发展，分别建设</w:t>
      </w:r>
      <w:r>
        <w:rPr>
          <w:rFonts w:cs="Times New Roman"/>
        </w:rPr>
        <w:t>以农副产品精深加工为主的现代高效农业科技示范区、生产和观光旅游一体化的城郊农业综合示范区、种养旅康特色农业体验区</w:t>
      </w:r>
      <w:r>
        <w:rPr>
          <w:rFonts w:hint="eastAsia" w:cs="Times New Roman"/>
        </w:rPr>
        <w:t>，</w:t>
      </w:r>
      <w:r>
        <w:rPr>
          <w:rFonts w:cs="Times New Roman"/>
        </w:rPr>
        <w:t>构建</w:t>
      </w:r>
      <w:r>
        <w:rPr>
          <w:rFonts w:hint="eastAsia" w:cs="Times New Roman"/>
          <w:lang w:eastAsia="zh-CN"/>
        </w:rPr>
        <w:t>“</w:t>
      </w:r>
      <w:r>
        <w:rPr>
          <w:rFonts w:cs="Times New Roman"/>
        </w:rPr>
        <w:t>一核驱动、两带辐射、三区共生</w:t>
      </w:r>
      <w:r>
        <w:rPr>
          <w:rFonts w:hint="eastAsia" w:cs="Times New Roman"/>
          <w:lang w:eastAsia="zh-CN"/>
        </w:rPr>
        <w:t>”</w:t>
      </w:r>
      <w:r>
        <w:rPr>
          <w:rFonts w:cs="Times New Roman"/>
        </w:rPr>
        <w:t>的现代农业空间格局。</w:t>
      </w:r>
      <w:r>
        <w:rPr>
          <w:rFonts w:eastAsia="楷体" w:cs="Times New Roman"/>
        </w:rPr>
        <w:t>（县农业农村局、县文旅局）</w:t>
      </w:r>
    </w:p>
    <w:p>
      <w:pPr>
        <w:adjustRightInd w:val="0"/>
        <w:snapToGrid w:val="0"/>
        <w:spacing w:line="580" w:lineRule="exact"/>
        <w:ind w:firstLine="643"/>
        <w:rPr>
          <w:rFonts w:cs="Times New Roman"/>
        </w:rPr>
      </w:pPr>
      <w:r>
        <w:rPr>
          <w:rFonts w:cs="Times New Roman"/>
          <w:b/>
          <w:bCs/>
        </w:rPr>
        <w:t>构建城乡融合发展的生活空间。</w:t>
      </w:r>
      <w:r>
        <w:rPr>
          <w:rFonts w:cs="Times New Roman"/>
        </w:rPr>
        <w:t>优化城乡功能配置，加快转变空间开发利用模式，推动形成大县城、特色小镇、和美乡村三级联动的城乡融合发展新景象。实施</w:t>
      </w:r>
      <w:r>
        <w:rPr>
          <w:rFonts w:hint="eastAsia" w:cs="Times New Roman"/>
          <w:lang w:eastAsia="zh-CN"/>
        </w:rPr>
        <w:t>“</w:t>
      </w:r>
      <w:r>
        <w:rPr>
          <w:rFonts w:cs="Times New Roman"/>
        </w:rPr>
        <w:t>大县城</w:t>
      </w:r>
      <w:r>
        <w:rPr>
          <w:rFonts w:hint="eastAsia" w:cs="Times New Roman"/>
          <w:lang w:eastAsia="zh-CN"/>
        </w:rPr>
        <w:t>”</w:t>
      </w:r>
      <w:r>
        <w:rPr>
          <w:rFonts w:cs="Times New Roman"/>
        </w:rPr>
        <w:t>战略，以中心城区为发展核，扩大规模、增强实力、强化区域性服务职能、塑造景观特色。强化</w:t>
      </w:r>
      <w:r>
        <w:rPr>
          <w:rFonts w:hint="eastAsia" w:cs="Times New Roman"/>
        </w:rPr>
        <w:t>开栅、刘胡兰、孝义、南安、下曲五个重点乡镇集聚作用。持续优化村庄空间分布，有序推动边远村镇撤并集聚。加快推动以</w:t>
      </w:r>
      <w:r>
        <w:rPr>
          <w:rFonts w:hint="eastAsia" w:cs="Times New Roman"/>
          <w:lang w:eastAsia="zh-CN"/>
        </w:rPr>
        <w:t>“</w:t>
      </w:r>
      <w:r>
        <w:rPr>
          <w:rFonts w:hint="eastAsia" w:cs="Times New Roman"/>
        </w:rPr>
        <w:t>中心村</w:t>
      </w:r>
      <w:r>
        <w:rPr>
          <w:rFonts w:hint="eastAsia" w:cs="Times New Roman"/>
          <w:lang w:eastAsia="zh-CN"/>
        </w:rPr>
        <w:t>”</w:t>
      </w:r>
      <w:r>
        <w:rPr>
          <w:rFonts w:cs="Times New Roman"/>
        </w:rPr>
        <w:t>为核心的乡村建设，加大村庄硬化、绿化、美化、净化、亮化力度。</w:t>
      </w:r>
      <w:r>
        <w:rPr>
          <w:rFonts w:eastAsia="楷体" w:cs="Times New Roman"/>
        </w:rPr>
        <w:t>（县自然资源局、县住建局、县农业农村局）</w:t>
      </w:r>
    </w:p>
    <w:p>
      <w:pPr>
        <w:adjustRightInd w:val="0"/>
        <w:snapToGrid w:val="0"/>
        <w:spacing w:line="580" w:lineRule="exact"/>
        <w:ind w:firstLine="643"/>
        <w:rPr>
          <w:rFonts w:cs="Times New Roman"/>
        </w:rPr>
      </w:pPr>
      <w:r>
        <w:rPr>
          <w:rFonts w:cs="Times New Roman"/>
          <w:b/>
        </w:rPr>
        <w:t>构筑山清水秀的生态空间。</w:t>
      </w:r>
      <w:r>
        <w:rPr>
          <w:rFonts w:cs="Times New Roman"/>
        </w:rPr>
        <w:t>基于全县</w:t>
      </w:r>
      <w:r>
        <w:rPr>
          <w:rFonts w:hint="eastAsia" w:cs="Times New Roman"/>
          <w:lang w:eastAsia="zh-CN"/>
        </w:rPr>
        <w:t>“</w:t>
      </w:r>
      <w:r>
        <w:rPr>
          <w:rFonts w:cs="Times New Roman"/>
        </w:rPr>
        <w:t>西山东川</w:t>
      </w:r>
      <w:r>
        <w:rPr>
          <w:rFonts w:hint="eastAsia" w:cs="Times New Roman"/>
          <w:lang w:eastAsia="zh-CN"/>
        </w:rPr>
        <w:t>”</w:t>
      </w:r>
      <w:r>
        <w:rPr>
          <w:rFonts w:cs="Times New Roman"/>
        </w:rPr>
        <w:t>的山水空间格局及生态系统服务功能，结合县域总体规划、森林廊道现状、村镇分布特点，拓展</w:t>
      </w:r>
      <w:r>
        <w:rPr>
          <w:rFonts w:hint="eastAsia" w:cs="Times New Roman"/>
          <w:lang w:eastAsia="zh-CN"/>
        </w:rPr>
        <w:t>“</w:t>
      </w:r>
      <w:r>
        <w:rPr>
          <w:rFonts w:cs="Times New Roman"/>
        </w:rPr>
        <w:t>一屏三廊一网</w:t>
      </w:r>
      <w:r>
        <w:rPr>
          <w:rFonts w:hint="eastAsia" w:cs="Times New Roman"/>
          <w:lang w:eastAsia="zh-CN"/>
        </w:rPr>
        <w:t>”</w:t>
      </w:r>
      <w:r>
        <w:rPr>
          <w:rFonts w:cs="Times New Roman"/>
        </w:rPr>
        <w:t>生态安全格局。以苍儿会为重点，积极实施生态保育工程，加快恢复西部山区水源涵养和土壤保持功能，把西部山区建成东部平川的</w:t>
      </w:r>
      <w:r>
        <w:rPr>
          <w:rFonts w:hint="eastAsia" w:cs="Times New Roman"/>
          <w:lang w:eastAsia="zh-CN"/>
        </w:rPr>
        <w:t>“</w:t>
      </w:r>
      <w:r>
        <w:rPr>
          <w:rFonts w:hint="eastAsia" w:cs="Times New Roman"/>
        </w:rPr>
        <w:t>绿色屏障</w:t>
      </w:r>
      <w:r>
        <w:rPr>
          <w:rFonts w:hint="eastAsia" w:cs="Times New Roman"/>
          <w:lang w:eastAsia="zh-CN"/>
        </w:rPr>
        <w:t>”</w:t>
      </w:r>
      <w:r>
        <w:rPr>
          <w:rFonts w:hint="eastAsia" w:cs="Times New Roman"/>
        </w:rPr>
        <w:t>。打造文峪河、磁窑河、汾河三条重要生态功能涵养廊道。以自然保护地、水库、公园绿地为核心，联通山水，织绿成网，建成森林生态网络和绿色生态走廊。</w:t>
      </w:r>
      <w:r>
        <w:rPr>
          <w:rFonts w:hint="eastAsia" w:eastAsia="楷体" w:cs="Times New Roman"/>
        </w:rPr>
        <w:t>（县自然资源局、县林业局、市生态环境局文水分局）</w:t>
      </w:r>
    </w:p>
    <w:p>
      <w:pPr>
        <w:pStyle w:val="5"/>
        <w:spacing w:before="156" w:after="156" w:line="240" w:lineRule="auto"/>
        <w:ind w:firstLine="643"/>
        <w:rPr>
          <w:rFonts w:cs="Times New Roman"/>
        </w:rPr>
      </w:pPr>
      <w:bookmarkStart w:id="167" w:name="_Toc18605"/>
      <w:bookmarkStart w:id="168" w:name="_Toc28515"/>
      <w:bookmarkStart w:id="169" w:name="_Toc177067106"/>
      <w:bookmarkStart w:id="170" w:name="_Toc23879"/>
      <w:bookmarkStart w:id="171" w:name="_Toc176974253"/>
      <w:r>
        <w:rPr>
          <w:rFonts w:cs="Times New Roman"/>
        </w:rPr>
        <w:t>（二）</w:t>
      </w:r>
      <w:r>
        <w:rPr>
          <w:rFonts w:hint="eastAsia" w:cs="Times New Roman"/>
          <w:lang w:val="en-US" w:eastAsia="zh-CN"/>
        </w:rPr>
        <w:t>筑牢</w:t>
      </w:r>
      <w:r>
        <w:rPr>
          <w:rFonts w:cs="Times New Roman"/>
        </w:rPr>
        <w:t>生态安全屏障</w:t>
      </w:r>
      <w:bookmarkEnd w:id="167"/>
      <w:bookmarkEnd w:id="168"/>
      <w:bookmarkEnd w:id="169"/>
      <w:bookmarkEnd w:id="170"/>
      <w:bookmarkEnd w:id="171"/>
    </w:p>
    <w:p>
      <w:pPr>
        <w:adjustRightInd w:val="0"/>
        <w:snapToGrid w:val="0"/>
        <w:spacing w:line="580" w:lineRule="exact"/>
        <w:ind w:firstLine="643"/>
        <w:rPr>
          <w:rFonts w:eastAsia="楷体" w:cs="Times New Roman"/>
          <w:bCs/>
        </w:rPr>
      </w:pPr>
      <w:r>
        <w:rPr>
          <w:rFonts w:hint="eastAsia" w:cs="Times New Roman"/>
          <w:b/>
          <w:bCs/>
        </w:rPr>
        <w:t>强化水土保持综合治理。</w:t>
      </w:r>
      <w:r>
        <w:rPr>
          <w:rFonts w:hint="eastAsia" w:cs="Times New Roman"/>
          <w:bCs/>
        </w:rPr>
        <w:t>以小流域为单元，以保护、改良和合理利用水土资源为目的，合理配置工程、植物、耕作等措施，开展多沙粗沙区为重点的水土保持和土地整治。以县城西部山区为重点，加快治理侵蚀沟、坡耕地等，打造水土流失综合治理示范区。开展水土保持监测网络体系建设，全面加强水土保持监督管理能力、监测能力建设。到</w:t>
      </w:r>
      <w:r>
        <w:rPr>
          <w:rFonts w:cs="Times New Roman"/>
          <w:bCs/>
        </w:rPr>
        <w:t>2035年，水土保持率提高到72.43%。</w:t>
      </w:r>
      <w:r>
        <w:rPr>
          <w:rFonts w:eastAsia="楷体" w:cs="Times New Roman"/>
          <w:bCs/>
        </w:rPr>
        <w:t>（县水利局、县自然资源局）</w:t>
      </w:r>
    </w:p>
    <w:p>
      <w:pPr>
        <w:adjustRightInd w:val="0"/>
        <w:snapToGrid w:val="0"/>
        <w:spacing w:before="120" w:after="120" w:line="580" w:lineRule="exact"/>
        <w:ind w:firstLine="643"/>
        <w:rPr>
          <w:rFonts w:eastAsia="楷体" w:cs="Times New Roman"/>
          <w:bCs/>
        </w:rPr>
      </w:pPr>
      <w:r>
        <w:rPr>
          <w:rFonts w:cs="Times New Roman"/>
          <w:b/>
          <w:bCs/>
        </w:rPr>
        <w:t>推进矿山生态修复。</w:t>
      </w:r>
      <w:r>
        <w:rPr>
          <w:rFonts w:cs="Times New Roman"/>
          <w:bCs/>
        </w:rPr>
        <w:t>全面推进历史遗留废弃矿山的环境治理和修复重点工程，严格落实主体灭失矿山生态修复的属地责任。以采煤沉陷、开山取石等矿山开采造成的受损弃置地生态治理为重点，加快修复进度。分类分级实施山体破坏面生态修复，恢复山体本色景观。全面推进绿色矿山建设。实施汾河百公里中游示范区吕梁段等重大水利生态保护工程。持续高标准推进砂坑修复治理，完成剩余砂坑治理。到2035年，历史遗留废弃矿山、砂坑生态修复治理全部完成。</w:t>
      </w:r>
      <w:r>
        <w:rPr>
          <w:rFonts w:hint="eastAsia" w:eastAsia="楷体" w:cs="Times New Roman"/>
          <w:bCs/>
        </w:rPr>
        <w:t>（县自然资源局</w:t>
      </w:r>
      <w:r>
        <w:rPr>
          <w:rFonts w:hint="eastAsia" w:eastAsia="楷体" w:cs="Times New Roman"/>
          <w:bCs/>
          <w:lang w:eastAsia="zh-CN"/>
        </w:rPr>
        <w:t>、</w:t>
      </w:r>
      <w:r>
        <w:rPr>
          <w:rFonts w:hint="eastAsia" w:eastAsia="楷体" w:cs="Times New Roman"/>
          <w:bCs/>
          <w:lang w:val="en-US" w:eastAsia="zh-CN"/>
        </w:rPr>
        <w:t>县水利局</w:t>
      </w:r>
      <w:r>
        <w:rPr>
          <w:rFonts w:hint="eastAsia" w:eastAsia="楷体" w:cs="Times New Roman"/>
          <w:bCs/>
        </w:rPr>
        <w:t>）</w:t>
      </w:r>
    </w:p>
    <w:p>
      <w:pPr>
        <w:adjustRightInd w:val="0"/>
        <w:snapToGrid w:val="0"/>
        <w:spacing w:line="580" w:lineRule="exact"/>
        <w:ind w:firstLine="643"/>
        <w:rPr>
          <w:rFonts w:cs="Times New Roman"/>
        </w:rPr>
      </w:pPr>
      <w:r>
        <w:rPr>
          <w:rFonts w:cs="Times New Roman"/>
          <w:b/>
        </w:rPr>
        <w:t>加强森林资源培育。</w:t>
      </w:r>
      <w:r>
        <w:rPr>
          <w:rFonts w:cs="Times New Roman"/>
        </w:rPr>
        <w:t>大力实施荒山绿化彩化工程、森林质量精准提升工程等，依托西山凤凰公园实施西山绿化项目，提升林木覆盖率。聚焦铁路、</w:t>
      </w:r>
      <w:r>
        <w:rPr>
          <w:rFonts w:hint="eastAsia" w:cs="Times New Roman"/>
        </w:rPr>
        <w:t>高速公路、县级以上公路，推进道路绿化林带建设，改善重要交通走廊森林景观效果。鼓励实施</w:t>
      </w:r>
      <w:r>
        <w:rPr>
          <w:rFonts w:hint="eastAsia" w:cs="Times New Roman"/>
          <w:lang w:eastAsia="zh-CN"/>
        </w:rPr>
        <w:t>“</w:t>
      </w:r>
      <w:r>
        <w:rPr>
          <w:rFonts w:hint="eastAsia" w:cs="Times New Roman"/>
        </w:rPr>
        <w:t>花式</w:t>
      </w:r>
      <w:r>
        <w:rPr>
          <w:rFonts w:hint="eastAsia" w:cs="Times New Roman"/>
          <w:lang w:eastAsia="zh-CN"/>
        </w:rPr>
        <w:t>”</w:t>
      </w:r>
      <w:r>
        <w:rPr>
          <w:rFonts w:hint="eastAsia" w:cs="Times New Roman"/>
        </w:rPr>
        <w:t>立体绿化。科学恢复林草植被，有序推进低质低效林更新改造和森林抚育，精准提升森林质量。建设以森林为主体的森林乡镇、森林村庄、森林小区、森林校区和森林人家等森林家园，带动森林城市建设。到</w:t>
      </w:r>
      <w:r>
        <w:rPr>
          <w:rFonts w:cs="Times New Roman"/>
        </w:rPr>
        <w:t>2035</w:t>
      </w:r>
      <w:r>
        <w:rPr>
          <w:rFonts w:hint="eastAsia" w:cs="Times New Roman"/>
        </w:rPr>
        <w:t>年，全县森林覆盖率提高到</w:t>
      </w:r>
      <w:r>
        <w:rPr>
          <w:rFonts w:cs="Times New Roman"/>
        </w:rPr>
        <w:t>39.59%。</w:t>
      </w:r>
      <w:r>
        <w:rPr>
          <w:rFonts w:hint="eastAsia" w:eastAsia="楷体" w:cs="Times New Roman"/>
        </w:rPr>
        <w:t>（县林业局、县交通局、县住建局、县自然资源局）</w:t>
      </w:r>
    </w:p>
    <w:p>
      <w:pPr>
        <w:adjustRightInd w:val="0"/>
        <w:snapToGrid w:val="0"/>
        <w:spacing w:before="120" w:after="120" w:line="580" w:lineRule="exact"/>
        <w:ind w:firstLine="643"/>
        <w:rPr>
          <w:rFonts w:cs="Times New Roman"/>
        </w:rPr>
      </w:pPr>
      <w:r>
        <w:rPr>
          <w:rFonts w:cs="Times New Roman"/>
          <w:b/>
          <w:bCs/>
        </w:rPr>
        <w:t>强化全域生物多样性保护。</w:t>
      </w:r>
      <w:r>
        <w:rPr>
          <w:rFonts w:hint="eastAsia" w:cs="Times New Roman"/>
          <w:bCs/>
        </w:rPr>
        <w:t>以</w:t>
      </w:r>
      <w:r>
        <w:rPr>
          <w:rFonts w:cs="Times New Roman"/>
        </w:rPr>
        <w:t>文峪河、磁窑河、汾河为重点，开展生态廊道建设和重要栖息地恢复，构建生物多样性监测网络。</w:t>
      </w:r>
      <w:r>
        <w:rPr>
          <w:rFonts w:hint="eastAsia" w:cs="Times New Roman"/>
        </w:rPr>
        <w:t>开展生物多样性保护管理，</w:t>
      </w:r>
      <w:r>
        <w:rPr>
          <w:rFonts w:cs="Times New Roman"/>
        </w:rPr>
        <w:t>对野生动物重要栖息地、野生植物天然分布地实施名录管理，加强褐马鸡、金钱豹等保护动物及其栖息生境的保护</w:t>
      </w:r>
      <w:r>
        <w:rPr>
          <w:rFonts w:hint="eastAsia" w:cs="Times New Roman"/>
        </w:rPr>
        <w:t>，定期评估生物受威胁状况以及生物多样性恢复成效</w:t>
      </w:r>
      <w:r>
        <w:rPr>
          <w:rFonts w:cs="Times New Roman"/>
        </w:rPr>
        <w:t>。加强生物遗传资源保护和管理，重点建设加强林木基地、药用植物种质资源库</w:t>
      </w:r>
      <w:r>
        <w:rPr>
          <w:rFonts w:hint="eastAsia" w:cs="Times New Roman"/>
        </w:rPr>
        <w:t>。到</w:t>
      </w:r>
      <w:r>
        <w:rPr>
          <w:rFonts w:cs="Times New Roman"/>
        </w:rPr>
        <w:t>2027</w:t>
      </w:r>
      <w:r>
        <w:rPr>
          <w:rFonts w:hint="eastAsia" w:cs="Times New Roman"/>
        </w:rPr>
        <w:t>年，完成生物多样性调查。</w:t>
      </w:r>
      <w:r>
        <w:rPr>
          <w:rFonts w:hint="eastAsia" w:eastAsia="楷体" w:cs="Times New Roman"/>
          <w:bCs/>
        </w:rPr>
        <w:t>（县农业农村局、县林业局、市生态环境局文水分局、县自然资源局）</w:t>
      </w:r>
    </w:p>
    <w:p>
      <w:pPr>
        <w:pStyle w:val="5"/>
        <w:spacing w:before="156" w:after="156" w:line="240" w:lineRule="auto"/>
        <w:ind w:firstLine="643"/>
        <w:rPr>
          <w:rFonts w:cs="Times New Roman"/>
        </w:rPr>
      </w:pPr>
      <w:bookmarkStart w:id="172" w:name="_Toc30907"/>
      <w:bookmarkStart w:id="173" w:name="_Toc176974254"/>
      <w:bookmarkStart w:id="174" w:name="_Toc177067107"/>
      <w:bookmarkStart w:id="175" w:name="_Toc28372"/>
      <w:bookmarkStart w:id="176" w:name="_Toc32716"/>
      <w:r>
        <w:rPr>
          <w:rFonts w:cs="Times New Roman"/>
        </w:rPr>
        <w:t>（三）加强生态保护监管</w:t>
      </w:r>
      <w:bookmarkEnd w:id="172"/>
      <w:bookmarkEnd w:id="173"/>
      <w:bookmarkEnd w:id="174"/>
      <w:bookmarkEnd w:id="175"/>
      <w:bookmarkEnd w:id="176"/>
    </w:p>
    <w:p>
      <w:pPr>
        <w:adjustRightInd w:val="0"/>
        <w:snapToGrid w:val="0"/>
        <w:spacing w:before="120" w:after="120" w:line="580" w:lineRule="exact"/>
        <w:ind w:firstLine="643"/>
        <w:rPr>
          <w:rFonts w:cs="Times New Roman"/>
        </w:rPr>
      </w:pPr>
      <w:r>
        <w:rPr>
          <w:rFonts w:hint="eastAsia" w:cs="Times New Roman"/>
          <w:b/>
          <w:highlight w:val="none"/>
        </w:rPr>
        <w:t>强化</w:t>
      </w:r>
      <w:r>
        <w:rPr>
          <w:rFonts w:hint="eastAsia" w:cs="Times New Roman"/>
          <w:b/>
        </w:rPr>
        <w:t>生态保护</w:t>
      </w:r>
      <w:r>
        <w:rPr>
          <w:rFonts w:hint="eastAsia" w:cs="Times New Roman"/>
          <w:b/>
          <w:highlight w:val="none"/>
        </w:rPr>
        <w:t>修复统一</w:t>
      </w:r>
      <w:r>
        <w:rPr>
          <w:rFonts w:hint="eastAsia" w:cs="Times New Roman"/>
          <w:b/>
        </w:rPr>
        <w:t>监管。</w:t>
      </w:r>
      <w:r>
        <w:rPr>
          <w:rFonts w:hint="eastAsia" w:cs="Times New Roman"/>
        </w:rPr>
        <w:t>持续加强自然保护地、生态保护红线两类重要区域的生态保护修复统一监管</w:t>
      </w:r>
      <w:r>
        <w:rPr>
          <w:rFonts w:cs="Times New Roman"/>
        </w:rPr>
        <w:t>，定期</w:t>
      </w:r>
      <w:r>
        <w:rPr>
          <w:rFonts w:hint="eastAsia" w:cs="Times New Roman"/>
        </w:rPr>
        <w:t>开展生态保护红线保护成效评估和自然保护地生态环境保护成效评估。聚焦生态保护监管的重点区域、领域和突出生态环境问题，</w:t>
      </w:r>
      <w:r>
        <w:rPr>
          <w:rFonts w:hint="eastAsia" w:cs="Times New Roman"/>
          <w:highlight w:val="none"/>
        </w:rPr>
        <w:t>通过自查方式</w:t>
      </w:r>
      <w:r>
        <w:rPr>
          <w:rFonts w:hint="eastAsia" w:cs="Times New Roman"/>
        </w:rPr>
        <w:t>持续开展</w:t>
      </w:r>
      <w:r>
        <w:rPr>
          <w:rFonts w:hint="eastAsia" w:cs="Times New Roman"/>
          <w:lang w:eastAsia="zh-CN"/>
        </w:rPr>
        <w:t>“</w:t>
      </w:r>
      <w:r>
        <w:rPr>
          <w:rFonts w:hint="eastAsia" w:cs="Times New Roman"/>
        </w:rPr>
        <w:t>绿盾</w:t>
      </w:r>
      <w:r>
        <w:rPr>
          <w:rFonts w:hint="eastAsia" w:cs="Times New Roman"/>
          <w:lang w:eastAsia="zh-CN"/>
        </w:rPr>
        <w:t>”</w:t>
      </w:r>
      <w:r>
        <w:rPr>
          <w:rFonts w:hint="eastAsia" w:cs="Times New Roman"/>
        </w:rPr>
        <w:t>自然保护地强化监督，探索建立生态破坏突出问题整改销号、</w:t>
      </w:r>
      <w:r>
        <w:rPr>
          <w:rFonts w:hint="eastAsia" w:cs="Times New Roman"/>
          <w:lang w:eastAsia="zh-CN"/>
        </w:rPr>
        <w:t>“</w:t>
      </w:r>
      <w:r>
        <w:rPr>
          <w:rFonts w:hint="eastAsia" w:cs="Times New Roman"/>
        </w:rPr>
        <w:t>贴蓝签挂黄牌亮红灯</w:t>
      </w:r>
      <w:r>
        <w:rPr>
          <w:rFonts w:hint="eastAsia" w:cs="Times New Roman"/>
          <w:lang w:eastAsia="zh-CN"/>
        </w:rPr>
        <w:t>”</w:t>
      </w:r>
      <w:r>
        <w:rPr>
          <w:rFonts w:hint="eastAsia" w:cs="Times New Roman"/>
        </w:rPr>
        <w:t>等创新性制度措施，推动问题整改落地、落实。按照</w:t>
      </w:r>
      <w:r>
        <w:rPr>
          <w:rFonts w:hint="eastAsia" w:cs="Times New Roman"/>
          <w:lang w:eastAsia="zh-CN"/>
        </w:rPr>
        <w:t>“</w:t>
      </w:r>
      <w:r>
        <w:rPr>
          <w:rFonts w:hint="eastAsia" w:cs="Times New Roman"/>
        </w:rPr>
        <w:t>事前、事中、事后</w:t>
      </w:r>
      <w:r>
        <w:rPr>
          <w:rFonts w:hint="eastAsia" w:cs="Times New Roman"/>
          <w:lang w:eastAsia="zh-CN"/>
        </w:rPr>
        <w:t>”</w:t>
      </w:r>
      <w:r>
        <w:rPr>
          <w:rFonts w:hint="eastAsia" w:cs="Times New Roman"/>
        </w:rPr>
        <w:t>的全过程监管思路，针对生态保护修复工程实施的关键环节，</w:t>
      </w:r>
      <w:r>
        <w:rPr>
          <w:rFonts w:cs="Times New Roman"/>
        </w:rPr>
        <w:t>开展重要生态保护修复工程实施生态环境成效监督评估。到2027</w:t>
      </w:r>
      <w:r>
        <w:rPr>
          <w:rFonts w:hint="eastAsia" w:cs="Times New Roman"/>
        </w:rPr>
        <w:t>年，生态系统质量和稳定性进一步提升。</w:t>
      </w:r>
      <w:r>
        <w:rPr>
          <w:rFonts w:hint="eastAsia" w:eastAsia="楷体" w:cs="Times New Roman"/>
          <w:bCs/>
        </w:rPr>
        <w:t>（市生态环境局文水分局）</w:t>
      </w:r>
    </w:p>
    <w:p>
      <w:pPr>
        <w:pStyle w:val="4"/>
        <w:spacing w:line="240" w:lineRule="auto"/>
        <w:ind w:firstLine="640"/>
        <w:jc w:val="left"/>
        <w:rPr>
          <w:rFonts w:cs="Times New Roman"/>
        </w:rPr>
      </w:pPr>
      <w:bookmarkStart w:id="177" w:name="_Toc18815"/>
      <w:bookmarkStart w:id="178" w:name="_Toc9720"/>
      <w:bookmarkStart w:id="179" w:name="_Toc26518"/>
      <w:bookmarkStart w:id="180" w:name="_Toc177067108"/>
      <w:bookmarkStart w:id="181" w:name="_Toc176974255"/>
      <w:r>
        <w:rPr>
          <w:rFonts w:hint="eastAsia" w:cs="Times New Roman"/>
          <w:lang w:val="en-US" w:eastAsia="zh-CN"/>
        </w:rPr>
        <w:t>六</w:t>
      </w:r>
      <w:r>
        <w:rPr>
          <w:rFonts w:cs="Times New Roman"/>
        </w:rPr>
        <w:t>、打造宜居宜业宜游的魅力城乡，建设</w:t>
      </w:r>
      <w:r>
        <w:rPr>
          <w:rFonts w:hint="eastAsia" w:cs="Times New Roman"/>
          <w:lang w:eastAsia="zh-CN"/>
        </w:rPr>
        <w:t>“</w:t>
      </w:r>
      <w:r>
        <w:rPr>
          <w:rFonts w:cs="Times New Roman"/>
        </w:rPr>
        <w:t>晋风晋韵、彰显特色</w:t>
      </w:r>
      <w:r>
        <w:rPr>
          <w:rFonts w:hint="eastAsia" w:cs="Times New Roman"/>
          <w:lang w:eastAsia="zh-CN"/>
        </w:rPr>
        <w:t>”</w:t>
      </w:r>
      <w:r>
        <w:rPr>
          <w:rFonts w:cs="Times New Roman"/>
        </w:rPr>
        <w:t>的美丽家园</w:t>
      </w:r>
      <w:bookmarkEnd w:id="177"/>
      <w:bookmarkEnd w:id="178"/>
      <w:bookmarkEnd w:id="179"/>
      <w:bookmarkEnd w:id="180"/>
      <w:bookmarkEnd w:id="181"/>
    </w:p>
    <w:p>
      <w:pPr>
        <w:pStyle w:val="5"/>
        <w:spacing w:before="156" w:after="156" w:line="240" w:lineRule="auto"/>
        <w:ind w:firstLine="643"/>
        <w:rPr>
          <w:rFonts w:cs="Times New Roman"/>
        </w:rPr>
      </w:pPr>
      <w:bookmarkStart w:id="182" w:name="_Toc175896013"/>
      <w:bookmarkStart w:id="183" w:name="_Toc5840"/>
      <w:bookmarkStart w:id="184" w:name="_Toc177067109"/>
      <w:bookmarkStart w:id="185" w:name="_Toc26460"/>
      <w:bookmarkStart w:id="186" w:name="_Toc15969"/>
      <w:bookmarkStart w:id="187" w:name="_Toc176974256"/>
      <w:r>
        <w:rPr>
          <w:rFonts w:cs="Times New Roman"/>
        </w:rPr>
        <w:t>（一）打造宜居宜业的美丽</w:t>
      </w:r>
      <w:bookmarkEnd w:id="182"/>
      <w:r>
        <w:rPr>
          <w:rFonts w:cs="Times New Roman"/>
        </w:rPr>
        <w:t>县城</w:t>
      </w:r>
      <w:bookmarkEnd w:id="183"/>
      <w:bookmarkEnd w:id="184"/>
      <w:bookmarkEnd w:id="185"/>
      <w:bookmarkEnd w:id="186"/>
      <w:bookmarkEnd w:id="187"/>
    </w:p>
    <w:p>
      <w:pPr>
        <w:ind w:firstLine="643"/>
        <w:rPr>
          <w:rFonts w:cs="Times New Roman"/>
        </w:rPr>
      </w:pPr>
      <w:r>
        <w:rPr>
          <w:rFonts w:hint="eastAsia" w:cs="Times New Roman"/>
          <w:b/>
          <w:bCs/>
        </w:rPr>
        <w:t>营造高品质城区生活。</w:t>
      </w:r>
      <w:r>
        <w:rPr>
          <w:rFonts w:hint="eastAsia" w:cs="Times New Roman"/>
        </w:rPr>
        <w:t>深化城市更新行动，加快老旧小区改造，推动建筑节能改造、加装电梯、周边绿化照明、配建停车设施、便民市场建设，让居民生活方便快捷。实施县城主街道和小街小巷改造，完成北环路东延拓宽改造工程，畅通城东联结线。加快实施建成区雨污分流改造，构建以疏通改造为主的排水防涝体系，推进海绵城市建设。提高生活垃圾分类及处置能力，加快推进城乡生活垃圾中转站、餐厨垃圾处置项目建设。实行</w:t>
      </w:r>
      <w:r>
        <w:rPr>
          <w:rFonts w:hint="eastAsia" w:cs="Times New Roman"/>
          <w:lang w:eastAsia="zh-CN"/>
        </w:rPr>
        <w:t>“</w:t>
      </w:r>
      <w:r>
        <w:rPr>
          <w:rFonts w:cs="Times New Roman"/>
        </w:rPr>
        <w:t>2+4</w:t>
      </w:r>
      <w:r>
        <w:rPr>
          <w:rFonts w:hint="eastAsia" w:cs="Times New Roman"/>
          <w:lang w:eastAsia="zh-CN"/>
        </w:rPr>
        <w:t>”</w:t>
      </w:r>
      <w:r>
        <w:rPr>
          <w:rFonts w:hint="eastAsia" w:cs="Times New Roman"/>
        </w:rPr>
        <w:t>分类方式，合理配置分类投放容器，实行</w:t>
      </w:r>
      <w:r>
        <w:rPr>
          <w:rFonts w:hint="eastAsia" w:cs="Times New Roman"/>
          <w:lang w:eastAsia="zh-CN"/>
        </w:rPr>
        <w:t>“</w:t>
      </w:r>
      <w:r>
        <w:rPr>
          <w:rFonts w:hint="eastAsia" w:cs="Times New Roman"/>
        </w:rPr>
        <w:t>四分类标识</w:t>
      </w:r>
      <w:r>
        <w:rPr>
          <w:rFonts w:hint="eastAsia" w:cs="Times New Roman"/>
          <w:lang w:eastAsia="zh-CN"/>
        </w:rPr>
        <w:t>”</w:t>
      </w:r>
      <w:r>
        <w:rPr>
          <w:rFonts w:hint="eastAsia" w:cs="Times New Roman"/>
        </w:rPr>
        <w:t>。</w:t>
      </w:r>
      <w:r>
        <w:rPr>
          <w:rFonts w:hint="eastAsia" w:eastAsia="楷体" w:cs="Times New Roman"/>
        </w:rPr>
        <w:t>（县住建局、县环卫园林服务中心）</w:t>
      </w:r>
    </w:p>
    <w:p>
      <w:pPr>
        <w:ind w:firstLine="643"/>
        <w:rPr>
          <w:rFonts w:cs="Times New Roman"/>
        </w:rPr>
      </w:pPr>
      <w:r>
        <w:rPr>
          <w:rFonts w:cs="Times New Roman"/>
          <w:b/>
          <w:bCs/>
        </w:rPr>
        <w:t>塑造</w:t>
      </w:r>
      <w:r>
        <w:rPr>
          <w:rFonts w:hint="eastAsia" w:cs="Times New Roman"/>
          <w:b/>
          <w:bCs/>
          <w:lang w:eastAsia="zh-CN"/>
        </w:rPr>
        <w:t>“</w:t>
      </w:r>
      <w:r>
        <w:rPr>
          <w:rFonts w:hint="eastAsia" w:cs="Times New Roman"/>
          <w:b/>
          <w:bCs/>
        </w:rPr>
        <w:t>女皇故里</w:t>
      </w:r>
      <w:r>
        <w:rPr>
          <w:rFonts w:cs="Times New Roman"/>
          <w:b/>
          <w:bCs/>
        </w:rPr>
        <w:t>·</w:t>
      </w:r>
      <w:r>
        <w:rPr>
          <w:rFonts w:hint="eastAsia" w:cs="Times New Roman"/>
          <w:b/>
          <w:bCs/>
        </w:rPr>
        <w:t>魅力文水</w:t>
      </w:r>
      <w:r>
        <w:rPr>
          <w:rFonts w:hint="eastAsia" w:cs="Times New Roman"/>
          <w:b/>
          <w:bCs/>
          <w:lang w:eastAsia="zh-CN"/>
        </w:rPr>
        <w:t>”</w:t>
      </w:r>
      <w:r>
        <w:rPr>
          <w:rFonts w:hint="eastAsia" w:cs="Times New Roman"/>
          <w:b/>
          <w:bCs/>
        </w:rPr>
        <w:t>城区风貌。</w:t>
      </w:r>
      <w:r>
        <w:rPr>
          <w:rFonts w:hint="eastAsia" w:cs="Times New Roman"/>
        </w:rPr>
        <w:t>开展城市面貌专项整治行动，扎实推进</w:t>
      </w:r>
      <w:r>
        <w:rPr>
          <w:rFonts w:hint="eastAsia" w:cs="Times New Roman"/>
          <w:lang w:eastAsia="zh-CN"/>
        </w:rPr>
        <w:t>“</w:t>
      </w:r>
      <w:r>
        <w:rPr>
          <w:rFonts w:hint="eastAsia" w:cs="Times New Roman"/>
        </w:rPr>
        <w:t>两下两进两拆</w:t>
      </w:r>
      <w:r>
        <w:rPr>
          <w:rFonts w:hint="eastAsia" w:cs="Times New Roman"/>
          <w:lang w:eastAsia="zh-CN"/>
        </w:rPr>
        <w:t>”</w:t>
      </w:r>
      <w:r>
        <w:rPr>
          <w:rFonts w:cs="Times New Roman"/>
        </w:rPr>
        <w:t>专项整治工程，开展则天大街、兴华路等城区主要街道综合整治，高标准打造2—3</w:t>
      </w:r>
      <w:r>
        <w:rPr>
          <w:rFonts w:hint="eastAsia" w:cs="Times New Roman"/>
        </w:rPr>
        <w:t>条示范街巷。推动主要街道、城区公共空间和重点地段的架空管线全部入地、广告牌匾整治、拆违治乱工作，解决停车难、停车乱问题。加强市容环境管理，合理设置</w:t>
      </w:r>
      <w:r>
        <w:rPr>
          <w:rFonts w:cs="Times New Roman"/>
        </w:rPr>
        <w:t>规范</w:t>
      </w:r>
      <w:r>
        <w:rPr>
          <w:rFonts w:hint="eastAsia" w:cs="Times New Roman"/>
        </w:rPr>
        <w:t>各类自由市场、摊点群、流动商贩疏导点等经营场所和网点。结合苍儿会、女皇文化、红色文化等重要旅游节点，以城市绿道为串联，打造城市特色魅力风貌体系。</w:t>
      </w:r>
      <w:r>
        <w:rPr>
          <w:rFonts w:eastAsia="楷体" w:cs="Times New Roman"/>
        </w:rPr>
        <w:t>（</w:t>
      </w:r>
      <w:r>
        <w:rPr>
          <w:rFonts w:hint="eastAsia" w:eastAsia="楷体" w:cs="Times New Roman"/>
        </w:rPr>
        <w:t>县</w:t>
      </w:r>
      <w:r>
        <w:rPr>
          <w:rFonts w:eastAsia="楷体" w:cs="Times New Roman"/>
        </w:rPr>
        <w:t>住建局、</w:t>
      </w:r>
      <w:r>
        <w:rPr>
          <w:rFonts w:hint="eastAsia" w:eastAsia="楷体" w:cs="Times New Roman"/>
        </w:rPr>
        <w:t>县</w:t>
      </w:r>
      <w:r>
        <w:rPr>
          <w:rFonts w:eastAsia="楷体" w:cs="Times New Roman"/>
        </w:rPr>
        <w:t>市场监管局）</w:t>
      </w:r>
    </w:p>
    <w:p>
      <w:pPr>
        <w:ind w:firstLine="643"/>
        <w:rPr>
          <w:rFonts w:eastAsia="楷体" w:cs="Times New Roman"/>
        </w:rPr>
      </w:pPr>
      <w:r>
        <w:rPr>
          <w:rFonts w:cs="Times New Roman"/>
          <w:b/>
          <w:bCs/>
        </w:rPr>
        <w:t>拓展城区绿色生态空间。</w:t>
      </w:r>
      <w:r>
        <w:rPr>
          <w:rFonts w:cs="Times New Roman"/>
        </w:rPr>
        <w:t>加大城区公园绿地建设力度，推动</w:t>
      </w:r>
      <w:r>
        <w:rPr>
          <w:rFonts w:hint="eastAsia" w:cs="Times New Roman"/>
        </w:rPr>
        <w:t>大陵湖公园、吉祥公园、凤祥公园等项目建设。结合老旧小区、商业街区、背街小巷等更新改造和完整社区建设。布局口袋公园，突出地域文脉特征，形成</w:t>
      </w:r>
      <w:r>
        <w:rPr>
          <w:rFonts w:hint="eastAsia" w:cs="Times New Roman"/>
          <w:lang w:eastAsia="zh-CN"/>
        </w:rPr>
        <w:t>“</w:t>
      </w:r>
      <w:r>
        <w:rPr>
          <w:rFonts w:hint="eastAsia" w:cs="Times New Roman"/>
        </w:rPr>
        <w:t>一园一品</w:t>
      </w:r>
      <w:r>
        <w:rPr>
          <w:rFonts w:hint="eastAsia" w:cs="Times New Roman"/>
          <w:lang w:eastAsia="zh-CN"/>
        </w:rPr>
        <w:t>”</w:t>
      </w:r>
      <w:r>
        <w:rPr>
          <w:rFonts w:hint="eastAsia" w:cs="Times New Roman"/>
        </w:rPr>
        <w:t>景观格局。通过场景营造，融入休闲游憩、儿童游戏、运动健身、文化展示、科普教育等功能。到</w:t>
      </w:r>
      <w:r>
        <w:rPr>
          <w:rFonts w:cs="Times New Roman"/>
        </w:rPr>
        <w:t>2027</w:t>
      </w:r>
      <w:r>
        <w:rPr>
          <w:rFonts w:hint="eastAsia" w:cs="Times New Roman"/>
        </w:rPr>
        <w:t>年，确保公园绿地</w:t>
      </w:r>
      <w:r>
        <w:rPr>
          <w:rFonts w:cs="Times New Roman"/>
        </w:rPr>
        <w:t>500</w:t>
      </w:r>
      <w:r>
        <w:rPr>
          <w:rFonts w:hint="eastAsia" w:cs="Times New Roman"/>
        </w:rPr>
        <w:t>米服务半径对城区居民区覆盖达</w:t>
      </w:r>
      <w:r>
        <w:rPr>
          <w:rFonts w:cs="Times New Roman"/>
        </w:rPr>
        <w:t>85</w:t>
      </w:r>
      <w:r>
        <w:rPr>
          <w:rFonts w:hint="eastAsia" w:cs="Times New Roman"/>
        </w:rPr>
        <w:t>％以上。</w:t>
      </w:r>
      <w:r>
        <w:rPr>
          <w:rFonts w:hint="eastAsia" w:eastAsia="楷体" w:cs="Times New Roman"/>
        </w:rPr>
        <w:t>（县住建局、县林业局、县自然资源局）</w:t>
      </w:r>
    </w:p>
    <w:p>
      <w:pPr>
        <w:pStyle w:val="5"/>
        <w:spacing w:before="156" w:after="156" w:line="240" w:lineRule="auto"/>
        <w:ind w:firstLine="643"/>
        <w:rPr>
          <w:rFonts w:cs="Times New Roman"/>
        </w:rPr>
      </w:pPr>
      <w:bookmarkStart w:id="188" w:name="_Toc26332"/>
      <w:bookmarkStart w:id="189" w:name="_Toc175896014"/>
      <w:bookmarkStart w:id="190" w:name="_Toc176974257"/>
      <w:bookmarkStart w:id="191" w:name="_Toc30712"/>
      <w:bookmarkStart w:id="192" w:name="_Toc177067110"/>
      <w:bookmarkStart w:id="193" w:name="_Toc7697"/>
      <w:r>
        <w:rPr>
          <w:rFonts w:cs="Times New Roman"/>
        </w:rPr>
        <w:t>（二）建设城乡互通的新型城镇</w:t>
      </w:r>
      <w:bookmarkEnd w:id="188"/>
      <w:bookmarkEnd w:id="189"/>
      <w:bookmarkEnd w:id="190"/>
      <w:bookmarkEnd w:id="191"/>
      <w:bookmarkEnd w:id="192"/>
      <w:bookmarkEnd w:id="193"/>
    </w:p>
    <w:p>
      <w:pPr>
        <w:ind w:firstLine="643"/>
        <w:rPr>
          <w:rFonts w:cs="Times New Roman"/>
        </w:rPr>
      </w:pPr>
      <w:r>
        <w:rPr>
          <w:rFonts w:cs="Times New Roman"/>
          <w:b/>
          <w:bCs/>
        </w:rPr>
        <w:t>因地制宜打造特色小镇。</w:t>
      </w:r>
      <w:r>
        <w:rPr>
          <w:rFonts w:hint="eastAsia" w:cs="Times New Roman"/>
          <w:b w:val="0"/>
          <w:bCs/>
        </w:rPr>
        <w:t>坚持因地制宜、分类施策，</w:t>
      </w:r>
      <w:r>
        <w:rPr>
          <w:rFonts w:hint="eastAsia" w:cs="Times New Roman"/>
        </w:rPr>
        <w:t>以特色旅游、生态康养、休闲商贸、物流交通、三农服务等为重点，遵循产镇融合理念，找准发展定位，精心打造文旅小镇、绿色养殖小镇、梨果小镇、沙棘小镇等特色小镇。提升中心镇吸引力、凝聚力和综合实力，形成产业投资和融合发展集聚地，加快实现由镇向城转变。构建</w:t>
      </w:r>
      <w:r>
        <w:rPr>
          <w:rFonts w:hint="eastAsia" w:cs="Times New Roman"/>
          <w:lang w:eastAsia="zh-CN"/>
        </w:rPr>
        <w:t>“</w:t>
      </w:r>
      <w:r>
        <w:rPr>
          <w:rFonts w:hint="eastAsia" w:cs="Times New Roman"/>
        </w:rPr>
        <w:t>县城</w:t>
      </w:r>
      <w:r>
        <w:rPr>
          <w:rFonts w:cs="Times New Roman"/>
        </w:rPr>
        <w:t>—</w:t>
      </w:r>
      <w:r>
        <w:rPr>
          <w:rFonts w:hint="eastAsia" w:cs="Times New Roman"/>
        </w:rPr>
        <w:t>中心镇</w:t>
      </w:r>
      <w:r>
        <w:rPr>
          <w:rFonts w:cs="Times New Roman"/>
        </w:rPr>
        <w:t>—</w:t>
      </w:r>
      <w:r>
        <w:rPr>
          <w:rFonts w:hint="eastAsia" w:cs="Times New Roman"/>
        </w:rPr>
        <w:t>特色镇</w:t>
      </w:r>
      <w:r>
        <w:rPr>
          <w:rFonts w:hint="eastAsia" w:cs="Times New Roman"/>
          <w:lang w:eastAsia="zh-CN"/>
        </w:rPr>
        <w:t>”</w:t>
      </w:r>
      <w:r>
        <w:rPr>
          <w:rFonts w:cs="Times New Roman"/>
        </w:rPr>
        <w:t>梯次衔接、功能配套、用地节约的组团式城镇体系，推动形成为县城服务的配套卫星城镇。</w:t>
      </w:r>
      <w:r>
        <w:rPr>
          <w:rFonts w:hint="eastAsia" w:eastAsia="楷体" w:cs="Times New Roman"/>
        </w:rPr>
        <w:t>（县发改局、县文旅局、县农业农村局、县住建局）</w:t>
      </w:r>
    </w:p>
    <w:p>
      <w:pPr>
        <w:ind w:firstLine="643"/>
        <w:rPr>
          <w:rFonts w:cs="Times New Roman"/>
        </w:rPr>
      </w:pPr>
      <w:r>
        <w:rPr>
          <w:rFonts w:cs="Times New Roman"/>
          <w:b/>
          <w:bCs/>
        </w:rPr>
        <w:t>推进以城带乡、城乡融合。</w:t>
      </w:r>
      <w:r>
        <w:rPr>
          <w:rFonts w:cs="Times New Roman"/>
        </w:rPr>
        <w:t>统筹城乡公共基础设施建设，围绕水、电、路、气等</w:t>
      </w:r>
      <w:r>
        <w:rPr>
          <w:rFonts w:hint="eastAsia" w:cs="Times New Roman"/>
          <w:lang w:eastAsia="zh-CN"/>
        </w:rPr>
        <w:t>“</w:t>
      </w:r>
      <w:r>
        <w:rPr>
          <w:rFonts w:hint="eastAsia" w:cs="Times New Roman"/>
        </w:rPr>
        <w:t>硬件</w:t>
      </w:r>
      <w:r>
        <w:rPr>
          <w:rFonts w:hint="eastAsia" w:cs="Times New Roman"/>
          <w:lang w:eastAsia="zh-CN"/>
        </w:rPr>
        <w:t>”</w:t>
      </w:r>
      <w:r>
        <w:rPr>
          <w:rFonts w:cs="Times New Roman"/>
        </w:rPr>
        <w:t>设施，统筹推进农村集中供热工程、城乡休闲活动场所等建设，实现城乡公共交通互联互通。推动公共服务向县城周边乡村延伸、社会事业向农村覆盖，健</w:t>
      </w:r>
      <w:r>
        <w:rPr>
          <w:rFonts w:hint="eastAsia" w:cs="Times New Roman"/>
        </w:rPr>
        <w:t>全全民覆盖、普惠共享、城乡一体的基本公共服务体系，带动农业农村现代化和农民就地就近城镇化。建立健全城乡融合发展体制机制，加强城市和乡村之间的产业互动协作，重塑工农互促、城乡互补、全面融合、共同繁荣的新型城乡关系。到</w:t>
      </w:r>
      <w:r>
        <w:rPr>
          <w:rFonts w:cs="Times New Roman"/>
        </w:rPr>
        <w:t>2035</w:t>
      </w:r>
      <w:r>
        <w:rPr>
          <w:rFonts w:hint="eastAsia" w:cs="Times New Roman"/>
        </w:rPr>
        <w:t>年，城乡设施实现互联互通。</w:t>
      </w:r>
      <w:r>
        <w:rPr>
          <w:rFonts w:hint="eastAsia" w:eastAsia="楷体" w:cs="Times New Roman"/>
        </w:rPr>
        <w:t>（县住建局、县农业农村局、县交通局）</w:t>
      </w:r>
    </w:p>
    <w:p>
      <w:pPr>
        <w:pStyle w:val="5"/>
        <w:spacing w:before="156" w:after="156"/>
        <w:ind w:firstLine="643"/>
        <w:rPr>
          <w:rFonts w:cs="Times New Roman"/>
        </w:rPr>
      </w:pPr>
      <w:bookmarkStart w:id="194" w:name="_Toc175896015"/>
      <w:bookmarkStart w:id="195" w:name="_Toc12127"/>
      <w:bookmarkStart w:id="196" w:name="_Toc22828"/>
      <w:bookmarkStart w:id="197" w:name="_Toc29978"/>
      <w:bookmarkStart w:id="198" w:name="_Toc177067111"/>
      <w:bookmarkStart w:id="199" w:name="_Toc176974258"/>
      <w:r>
        <w:rPr>
          <w:rFonts w:cs="Times New Roman"/>
        </w:rPr>
        <w:t>（三）绘就业兴绿盈的美丽乡村</w:t>
      </w:r>
      <w:bookmarkEnd w:id="194"/>
      <w:bookmarkEnd w:id="195"/>
      <w:bookmarkEnd w:id="196"/>
      <w:bookmarkEnd w:id="197"/>
      <w:bookmarkEnd w:id="198"/>
      <w:bookmarkEnd w:id="199"/>
    </w:p>
    <w:p>
      <w:pPr>
        <w:numPr>
          <w:ilvl w:val="255"/>
          <w:numId w:val="0"/>
        </w:numPr>
        <w:spacing w:line="240" w:lineRule="auto"/>
        <w:ind w:firstLine="642" w:firstLineChars="200"/>
        <w:rPr>
          <w:rFonts w:cs="Times New Roman"/>
        </w:rPr>
      </w:pPr>
      <w:r>
        <w:rPr>
          <w:rFonts w:cs="Times New Roman"/>
          <w:b/>
          <w:bCs/>
        </w:rPr>
        <w:t>深入推进农村人居环境整治。</w:t>
      </w:r>
      <w:r>
        <w:rPr>
          <w:rFonts w:hint="eastAsia" w:cs="Times New Roman"/>
        </w:rPr>
        <w:t>因地制宜</w:t>
      </w:r>
      <w:r>
        <w:rPr>
          <w:rFonts w:hint="eastAsia" w:cs="Times New Roman"/>
          <w:bCs/>
        </w:rPr>
        <w:t>推进农村</w:t>
      </w:r>
      <w:r>
        <w:rPr>
          <w:rFonts w:cs="Times New Roman"/>
          <w:bCs/>
        </w:rPr>
        <w:t>生活污水治理</w:t>
      </w:r>
      <w:r>
        <w:rPr>
          <w:rFonts w:hint="eastAsia" w:cs="Times New Roman"/>
          <w:bCs/>
        </w:rPr>
        <w:t>，</w:t>
      </w:r>
      <w:r>
        <w:rPr>
          <w:rFonts w:hint="eastAsia" w:cs="Times New Roman"/>
        </w:rPr>
        <w:t>对于人口集中或相对集中的村庄，采取相对集中式或者集中式处理模式，规划建设马西乡污水处理设施。对于常住人口较少、居住分散，以及具备适宜环境消纳能力的村庄，鼓励优先采取资源化利用的治理模式，与农村庭院经济和农业绿色发展相结合，就近就地实现农村生活污水资源化利用。统筹推进农村生活污水治理和厕所革命，推进厕所粪污分散处理、集中处理与纳入污水管网统一处理。构建城乡融合的农村生活垃圾治理体系，推动城乡环卫制度并轨。结合非正规垃圾堆放点整治，优化垃圾收集站点布置，</w:t>
      </w:r>
      <w:r>
        <w:rPr>
          <w:rFonts w:cs="Times New Roman"/>
        </w:rPr>
        <w:t>因地制宜建设一批小型化、分散化、无害化的生活垃圾处理设施，健全</w:t>
      </w:r>
      <w:r>
        <w:rPr>
          <w:rFonts w:hint="eastAsia" w:cs="Times New Roman"/>
        </w:rPr>
        <w:t>农户合理付费、村级组织统筹、政府适当补助的</w:t>
      </w:r>
      <w:r>
        <w:rPr>
          <w:rFonts w:cs="Times New Roman"/>
        </w:rPr>
        <w:t>运行管护制度。</w:t>
      </w:r>
      <w:r>
        <w:rPr>
          <w:rFonts w:hint="eastAsia" w:cs="Times New Roman"/>
        </w:rPr>
        <w:t>每个乡镇选择</w:t>
      </w:r>
      <w:r>
        <w:rPr>
          <w:rFonts w:cs="Times New Roman"/>
        </w:rPr>
        <w:t>1</w:t>
      </w:r>
      <w:r>
        <w:rPr>
          <w:rFonts w:hint="eastAsia" w:cs="Times New Roman"/>
        </w:rPr>
        <w:t>—</w:t>
      </w:r>
      <w:r>
        <w:rPr>
          <w:rFonts w:cs="Times New Roman"/>
        </w:rPr>
        <w:t>2</w:t>
      </w:r>
      <w:r>
        <w:rPr>
          <w:rFonts w:hint="eastAsia" w:cs="Times New Roman"/>
        </w:rPr>
        <w:t>个村</w:t>
      </w:r>
      <w:r>
        <w:rPr>
          <w:rFonts w:cs="Times New Roman"/>
        </w:rPr>
        <w:t>探索建立垃圾分类超市、分类积分制等</w:t>
      </w:r>
      <w:r>
        <w:rPr>
          <w:rFonts w:hint="eastAsia" w:cs="Times New Roman"/>
        </w:rPr>
        <w:t>激励机制，有序推进生活垃圾分类减量与资源化处理利用工作。按照</w:t>
      </w:r>
      <w:r>
        <w:rPr>
          <w:rFonts w:hint="eastAsia" w:cs="Times New Roman"/>
          <w:lang w:eastAsia="zh-CN"/>
        </w:rPr>
        <w:t>“</w:t>
      </w:r>
      <w:r>
        <w:rPr>
          <w:rFonts w:hint="eastAsia" w:cs="Times New Roman"/>
        </w:rPr>
        <w:t>控源截污、内源治理、水系连通、生态修复</w:t>
      </w:r>
      <w:r>
        <w:rPr>
          <w:rFonts w:hint="eastAsia" w:cs="Times New Roman"/>
          <w:lang w:eastAsia="zh-CN"/>
        </w:rPr>
        <w:t>”</w:t>
      </w:r>
      <w:r>
        <w:rPr>
          <w:rFonts w:hint="eastAsia" w:cs="Times New Roman"/>
        </w:rPr>
        <w:t>的治理思路，因地制宜选择低成本、易维护、高效率的治理模式，开展农村黑臭水体治理。建立健全农村黑臭水体治理长效管护机制，巩固黑臭水体治理成效。到</w:t>
      </w:r>
      <w:r>
        <w:rPr>
          <w:rFonts w:cs="Times New Roman"/>
        </w:rPr>
        <w:t>2027</w:t>
      </w:r>
      <w:r>
        <w:rPr>
          <w:rFonts w:hint="eastAsia" w:cs="Times New Roman"/>
        </w:rPr>
        <w:t>年，全县农村黑臭水体全面消除；到</w:t>
      </w:r>
      <w:r>
        <w:rPr>
          <w:rFonts w:cs="Times New Roman"/>
        </w:rPr>
        <w:t>2035</w:t>
      </w:r>
      <w:r>
        <w:rPr>
          <w:rFonts w:hint="eastAsia" w:cs="Times New Roman"/>
        </w:rPr>
        <w:t>年，乡</w:t>
      </w:r>
      <w:r>
        <w:rPr>
          <w:rFonts w:hint="eastAsia" w:cs="Times New Roman"/>
          <w:lang w:eastAsia="zh-CN"/>
        </w:rPr>
        <w:t>（</w:t>
      </w:r>
      <w:r>
        <w:rPr>
          <w:rFonts w:hint="eastAsia" w:cs="Times New Roman"/>
          <w:lang w:val="en-US" w:eastAsia="zh-CN"/>
        </w:rPr>
        <w:t>镇</w:t>
      </w:r>
      <w:r>
        <w:rPr>
          <w:rFonts w:hint="eastAsia" w:cs="Times New Roman"/>
          <w:lang w:eastAsia="zh-CN"/>
        </w:rPr>
        <w:t>）</w:t>
      </w:r>
      <w:r>
        <w:rPr>
          <w:rFonts w:hint="eastAsia" w:cs="Times New Roman"/>
        </w:rPr>
        <w:t>政府驻地、中心村等重点村庄全面完成环境整治。</w:t>
      </w:r>
      <w:r>
        <w:rPr>
          <w:rFonts w:hint="eastAsia" w:eastAsia="楷体" w:cs="Times New Roman"/>
        </w:rPr>
        <w:t>（县农业农村局、县环卫园林服务中心、市生态环境局文水分局）</w:t>
      </w:r>
    </w:p>
    <w:p>
      <w:pPr>
        <w:numPr>
          <w:ilvl w:val="255"/>
          <w:numId w:val="0"/>
        </w:numPr>
        <w:spacing w:line="240" w:lineRule="auto"/>
        <w:ind w:firstLine="642" w:firstLineChars="200"/>
        <w:rPr>
          <w:rFonts w:cs="Times New Roman"/>
        </w:rPr>
      </w:pPr>
      <w:r>
        <w:rPr>
          <w:rFonts w:cs="Times New Roman"/>
          <w:b/>
        </w:rPr>
        <w:t>打造大美乡村风貌。</w:t>
      </w:r>
      <w:r>
        <w:rPr>
          <w:rFonts w:cs="Times New Roman"/>
        </w:rPr>
        <w:t>保护乡村自然生态基底，持续开展村庄绿化美化亮化。</w:t>
      </w:r>
      <w:r>
        <w:rPr>
          <w:rFonts w:hint="eastAsia" w:cs="Times New Roman"/>
        </w:rPr>
        <w:t>推进乡村小微湿地保护，开展乡村小溪流、小池塘等小微湿地修复。充分利用农村道路、沟渠、田坎等现有空间，加强农田防护林建设。保留晋派风貌和村庄肌理，深入推进存量房微改造和新建农房风貌塑造，以</w:t>
      </w:r>
      <w:r>
        <w:rPr>
          <w:rFonts w:hint="eastAsia" w:cs="Times New Roman"/>
          <w:lang w:eastAsia="zh-CN"/>
        </w:rPr>
        <w:t>“</w:t>
      </w:r>
      <w:r>
        <w:rPr>
          <w:rFonts w:hint="eastAsia" w:cs="Times New Roman"/>
        </w:rPr>
        <w:t>绣花</w:t>
      </w:r>
      <w:r>
        <w:rPr>
          <w:rFonts w:hint="eastAsia" w:cs="Times New Roman"/>
          <w:lang w:eastAsia="zh-CN"/>
        </w:rPr>
        <w:t>”</w:t>
      </w:r>
      <w:r>
        <w:rPr>
          <w:rFonts w:hint="eastAsia" w:cs="Times New Roman"/>
        </w:rPr>
        <w:t>功夫实施乡村有机更新，集中连片打造晋风晋韵美丽乡村，防止</w:t>
      </w:r>
      <w:r>
        <w:rPr>
          <w:rFonts w:hint="eastAsia" w:cs="Times New Roman"/>
          <w:lang w:eastAsia="zh-CN"/>
        </w:rPr>
        <w:t>“</w:t>
      </w:r>
      <w:r>
        <w:rPr>
          <w:rFonts w:hint="eastAsia" w:cs="Times New Roman"/>
        </w:rPr>
        <w:t>千村一面</w:t>
      </w:r>
      <w:r>
        <w:rPr>
          <w:rFonts w:hint="eastAsia" w:cs="Times New Roman"/>
          <w:lang w:eastAsia="zh-CN"/>
        </w:rPr>
        <w:t>”</w:t>
      </w:r>
      <w:r>
        <w:rPr>
          <w:rFonts w:hint="eastAsia" w:cs="Times New Roman"/>
        </w:rPr>
        <w:t>。高质量推进</w:t>
      </w:r>
      <w:r>
        <w:rPr>
          <w:rFonts w:hint="eastAsia" w:cs="Times New Roman"/>
          <w:lang w:eastAsia="zh-CN"/>
        </w:rPr>
        <w:t>“</w:t>
      </w:r>
      <w:r>
        <w:rPr>
          <w:rFonts w:hint="eastAsia" w:cs="Times New Roman"/>
        </w:rPr>
        <w:t>四好农村路</w:t>
      </w:r>
      <w:r>
        <w:rPr>
          <w:rFonts w:hint="eastAsia" w:cs="Times New Roman"/>
          <w:lang w:eastAsia="zh-CN"/>
        </w:rPr>
        <w:t>”</w:t>
      </w:r>
      <w:r>
        <w:rPr>
          <w:rFonts w:cs="Times New Roman"/>
        </w:rPr>
        <w:t>建设，大力实施农村</w:t>
      </w:r>
      <w:r>
        <w:rPr>
          <w:rFonts w:hint="eastAsia" w:cs="Times New Roman"/>
          <w:lang w:eastAsia="zh-CN"/>
        </w:rPr>
        <w:t>“</w:t>
      </w:r>
      <w:r>
        <w:rPr>
          <w:rFonts w:cs="Times New Roman"/>
        </w:rPr>
        <w:t>四旁</w:t>
      </w:r>
      <w:r>
        <w:rPr>
          <w:rFonts w:hint="eastAsia" w:cs="Times New Roman"/>
          <w:lang w:eastAsia="zh-CN"/>
        </w:rPr>
        <w:t>”</w:t>
      </w:r>
      <w:r>
        <w:rPr>
          <w:rFonts w:hint="eastAsia" w:cs="Times New Roman"/>
        </w:rPr>
        <w:t>绿化，鼓励栽植乡土珍贵树种。开展全域土地综合整治，统筹</w:t>
      </w:r>
      <w:r>
        <w:rPr>
          <w:rFonts w:cs="Times New Roman"/>
        </w:rPr>
        <w:t>推进农用地整理、</w:t>
      </w:r>
      <w:r>
        <w:rPr>
          <w:rFonts w:hint="eastAsia" w:cs="Times New Roman"/>
        </w:rPr>
        <w:t>建设用地整理和乡村生态保护修复等。引导村民建设美丽庭院，合理规划功能空间，因地制宜打造小菜园、小果园、小花园、小公园，积极发展乔、灌、草、花、藤多层次绿化，提升庭院风貌。</w:t>
      </w:r>
      <w:r>
        <w:rPr>
          <w:rFonts w:hint="eastAsia" w:eastAsia="楷体" w:cs="Times New Roman"/>
        </w:rPr>
        <w:t>（县农业农村局、县住建局）</w:t>
      </w:r>
    </w:p>
    <w:p>
      <w:pPr>
        <w:ind w:firstLine="643"/>
        <w:rPr>
          <w:rFonts w:cs="Times New Roman"/>
        </w:rPr>
      </w:pPr>
      <w:r>
        <w:rPr>
          <w:rFonts w:hint="eastAsia" w:cs="Times New Roman"/>
          <w:b/>
          <w:bCs/>
        </w:rPr>
        <w:t>高品质建设美丽宜居乡村。</w:t>
      </w:r>
      <w:r>
        <w:rPr>
          <w:rFonts w:hint="eastAsia" w:cs="Times New Roman"/>
          <w:bCs/>
        </w:rPr>
        <w:t>坚持城乡融合发展，统筹乡村生态振兴和农村人居环境整治，结合各乡村自然条件</w:t>
      </w:r>
      <w:r>
        <w:rPr>
          <w:rFonts w:cs="Times New Roman"/>
          <w:bCs/>
        </w:rPr>
        <w:t>、</w:t>
      </w:r>
      <w:r>
        <w:rPr>
          <w:rFonts w:hint="eastAsia" w:cs="Times New Roman"/>
          <w:bCs/>
        </w:rPr>
        <w:t>区位特征</w:t>
      </w:r>
      <w:r>
        <w:rPr>
          <w:rFonts w:cs="Times New Roman"/>
          <w:bCs/>
        </w:rPr>
        <w:t>、发展基础等因素，</w:t>
      </w:r>
      <w:r>
        <w:rPr>
          <w:rFonts w:hint="eastAsia" w:cs="Times New Roman"/>
          <w:bCs/>
          <w:highlight w:val="none"/>
        </w:rPr>
        <w:t>按照精品示范村、提档升级村、环境整治村分类深化、</w:t>
      </w:r>
      <w:r>
        <w:rPr>
          <w:rFonts w:hint="eastAsia" w:cs="Times New Roman"/>
        </w:rPr>
        <w:t>整县推进美丽乡村建设行动，积极探索各美其美</w:t>
      </w:r>
      <w:r>
        <w:rPr>
          <w:rFonts w:hint="eastAsia" w:cs="Times New Roman"/>
          <w:bCs/>
        </w:rPr>
        <w:t>的美丽乡村模式和路径。全面提升农村生态环境质量，大力推进农业绿色低碳发展</w:t>
      </w:r>
      <w:r>
        <w:rPr>
          <w:rFonts w:cs="Times New Roman"/>
          <w:bCs/>
        </w:rPr>
        <w:t>。</w:t>
      </w:r>
      <w:r>
        <w:rPr>
          <w:rFonts w:hint="eastAsia" w:cs="Times New Roman"/>
        </w:rPr>
        <w:t>巩固提升</w:t>
      </w:r>
      <w:r>
        <w:rPr>
          <w:rFonts w:hint="eastAsia" w:cs="Times New Roman"/>
          <w:lang w:eastAsia="zh-CN"/>
        </w:rPr>
        <w:t>“</w:t>
      </w:r>
      <w:r>
        <w:rPr>
          <w:rFonts w:hint="eastAsia" w:cs="Times New Roman"/>
        </w:rPr>
        <w:t>美丽宜居示范村</w:t>
      </w:r>
      <w:r>
        <w:rPr>
          <w:rFonts w:hint="eastAsia" w:cs="Times New Roman"/>
          <w:lang w:eastAsia="zh-CN"/>
        </w:rPr>
        <w:t>”</w:t>
      </w:r>
      <w:r>
        <w:rPr>
          <w:rFonts w:hint="eastAsia" w:cs="Times New Roman"/>
        </w:rPr>
        <w:t>创建成果，持续打造城郊融合、文化旅游、休闲养生、农耕体验、绿色生态等不同模式的美丽宜居示范样板。到</w:t>
      </w:r>
      <w:r>
        <w:rPr>
          <w:rFonts w:cs="Times New Roman"/>
        </w:rPr>
        <w:t>2027</w:t>
      </w:r>
      <w:r>
        <w:rPr>
          <w:rFonts w:hint="eastAsia" w:cs="Times New Roman"/>
        </w:rPr>
        <w:t>年，美丽乡村建成比例达到</w:t>
      </w:r>
      <w:r>
        <w:rPr>
          <w:rFonts w:cs="Times New Roman"/>
        </w:rPr>
        <w:t>40%</w:t>
      </w:r>
      <w:r>
        <w:rPr>
          <w:rFonts w:hint="eastAsia" w:cs="Times New Roman"/>
        </w:rPr>
        <w:t>，农业绿色发展进展明显，重点区域农业面源污染得到有效遏制；到</w:t>
      </w:r>
      <w:r>
        <w:rPr>
          <w:rFonts w:cs="Times New Roman"/>
        </w:rPr>
        <w:t>2035</w:t>
      </w:r>
      <w:r>
        <w:rPr>
          <w:rFonts w:hint="eastAsia" w:cs="Times New Roman"/>
        </w:rPr>
        <w:t>年，各美其美、美美与共的美丽乡村格局基本建成，全县形成</w:t>
      </w:r>
      <w:r>
        <w:rPr>
          <w:rFonts w:hint="eastAsia" w:cs="Times New Roman"/>
          <w:lang w:eastAsia="zh-CN"/>
        </w:rPr>
        <w:t>“</w:t>
      </w:r>
      <w:r>
        <w:rPr>
          <w:rFonts w:hint="eastAsia" w:cs="Times New Roman"/>
        </w:rPr>
        <w:t>点上精美、线上出彩、面上宜居</w:t>
      </w:r>
      <w:r>
        <w:rPr>
          <w:rFonts w:hint="eastAsia" w:cs="Times New Roman"/>
          <w:lang w:eastAsia="zh-CN"/>
        </w:rPr>
        <w:t>”</w:t>
      </w:r>
      <w:r>
        <w:rPr>
          <w:rFonts w:hint="eastAsia" w:cs="Times New Roman"/>
        </w:rPr>
        <w:t>的美丽乡村建设格局。</w:t>
      </w:r>
      <w:r>
        <w:rPr>
          <w:rFonts w:hint="eastAsia" w:eastAsia="楷体" w:cs="Times New Roman"/>
        </w:rPr>
        <w:t>（市生态环境局文水分局、县农业农村局、县住建局、县文旅局）</w:t>
      </w:r>
      <w:bookmarkStart w:id="200" w:name="_Toc24122"/>
    </w:p>
    <w:p>
      <w:pPr>
        <w:pStyle w:val="4"/>
        <w:spacing w:line="240" w:lineRule="auto"/>
        <w:ind w:firstLine="640"/>
        <w:jc w:val="left"/>
        <w:rPr>
          <w:rFonts w:cs="Times New Roman"/>
        </w:rPr>
      </w:pPr>
      <w:bookmarkStart w:id="201" w:name="_Toc177067112"/>
      <w:bookmarkStart w:id="202" w:name="_Toc2137"/>
      <w:bookmarkStart w:id="203" w:name="_Toc176974259"/>
      <w:bookmarkStart w:id="204" w:name="_Toc26678"/>
      <w:bookmarkStart w:id="205" w:name="_Toc18580"/>
      <w:r>
        <w:rPr>
          <w:rFonts w:hint="eastAsia" w:cs="Times New Roman"/>
          <w:lang w:val="en-US" w:eastAsia="zh-CN"/>
        </w:rPr>
        <w:t>七</w:t>
      </w:r>
      <w:r>
        <w:rPr>
          <w:rFonts w:cs="Times New Roman"/>
        </w:rPr>
        <w:t>、挖掘新时代生态文明建设的生动实践</w:t>
      </w:r>
      <w:bookmarkEnd w:id="200"/>
      <w:r>
        <w:rPr>
          <w:rFonts w:cs="Times New Roman"/>
        </w:rPr>
        <w:t>，弘扬</w:t>
      </w:r>
      <w:r>
        <w:rPr>
          <w:rFonts w:hint="eastAsia" w:cs="Times New Roman"/>
          <w:lang w:eastAsia="zh-CN"/>
        </w:rPr>
        <w:t>“</w:t>
      </w:r>
      <w:r>
        <w:rPr>
          <w:rFonts w:cs="Times New Roman"/>
        </w:rPr>
        <w:t>天人合一、万物共育</w:t>
      </w:r>
      <w:r>
        <w:rPr>
          <w:rFonts w:hint="eastAsia" w:cs="Times New Roman"/>
          <w:lang w:eastAsia="zh-CN"/>
        </w:rPr>
        <w:t>”</w:t>
      </w:r>
      <w:r>
        <w:rPr>
          <w:rFonts w:cs="Times New Roman"/>
        </w:rPr>
        <w:t>的生态文化</w:t>
      </w:r>
      <w:bookmarkEnd w:id="201"/>
      <w:bookmarkEnd w:id="202"/>
      <w:bookmarkEnd w:id="203"/>
      <w:bookmarkEnd w:id="204"/>
      <w:bookmarkEnd w:id="205"/>
    </w:p>
    <w:p>
      <w:pPr>
        <w:pStyle w:val="5"/>
        <w:spacing w:before="156" w:after="156" w:line="240" w:lineRule="auto"/>
        <w:ind w:firstLine="643"/>
        <w:rPr>
          <w:rFonts w:cs="Times New Roman"/>
        </w:rPr>
      </w:pPr>
      <w:bookmarkStart w:id="206" w:name="_Toc4509"/>
      <w:bookmarkStart w:id="207" w:name="_Toc176974260"/>
      <w:bookmarkStart w:id="208" w:name="_Toc175896024"/>
      <w:bookmarkStart w:id="209" w:name="_Toc177067113"/>
      <w:bookmarkStart w:id="210" w:name="_Toc19557"/>
      <w:bookmarkStart w:id="211" w:name="_Toc9783"/>
      <w:r>
        <w:rPr>
          <w:rFonts w:cs="Times New Roman"/>
        </w:rPr>
        <w:t>（一）挖掘传承传统生态文化</w:t>
      </w:r>
      <w:bookmarkEnd w:id="206"/>
      <w:bookmarkEnd w:id="207"/>
      <w:bookmarkEnd w:id="208"/>
      <w:bookmarkEnd w:id="209"/>
      <w:bookmarkEnd w:id="210"/>
      <w:bookmarkEnd w:id="211"/>
    </w:p>
    <w:p>
      <w:pPr>
        <w:spacing w:line="240" w:lineRule="auto"/>
        <w:ind w:firstLine="643"/>
        <w:rPr>
          <w:rFonts w:cs="Times New Roman"/>
        </w:rPr>
      </w:pPr>
      <w:r>
        <w:rPr>
          <w:rFonts w:hint="eastAsia" w:cs="Times New Roman"/>
          <w:b/>
          <w:bCs/>
        </w:rPr>
        <w:t>挖掘保护生态文化资源。</w:t>
      </w:r>
      <w:r>
        <w:rPr>
          <w:rFonts w:hint="eastAsia" w:cs="Times New Roman"/>
        </w:rPr>
        <w:t>遵循</w:t>
      </w:r>
      <w:r>
        <w:rPr>
          <w:rFonts w:hint="eastAsia" w:cs="Times New Roman"/>
          <w:lang w:eastAsia="zh-CN"/>
        </w:rPr>
        <w:t>“</w:t>
      </w:r>
      <w:r>
        <w:rPr>
          <w:rFonts w:hint="eastAsia" w:cs="Times New Roman"/>
        </w:rPr>
        <w:t>天人合一、道法自然</w:t>
      </w:r>
      <w:r>
        <w:rPr>
          <w:rFonts w:hint="eastAsia" w:cs="Times New Roman"/>
          <w:lang w:eastAsia="zh-CN"/>
        </w:rPr>
        <w:t>”</w:t>
      </w:r>
      <w:r>
        <w:rPr>
          <w:rFonts w:cs="Times New Roman"/>
        </w:rPr>
        <w:t>的朴素自然观、</w:t>
      </w:r>
      <w:r>
        <w:rPr>
          <w:rFonts w:hint="eastAsia" w:cs="Times New Roman"/>
          <w:lang w:eastAsia="zh-CN"/>
        </w:rPr>
        <w:t>“</w:t>
      </w:r>
      <w:r>
        <w:rPr>
          <w:rFonts w:hint="eastAsia" w:cs="Times New Roman"/>
        </w:rPr>
        <w:t>尊重自然、敬畏生命</w:t>
      </w:r>
      <w:r>
        <w:rPr>
          <w:rFonts w:hint="eastAsia" w:cs="Times New Roman"/>
          <w:lang w:eastAsia="zh-CN"/>
        </w:rPr>
        <w:t>”</w:t>
      </w:r>
      <w:r>
        <w:rPr>
          <w:rFonts w:hint="eastAsia" w:cs="Times New Roman"/>
        </w:rPr>
        <w:t>的</w:t>
      </w:r>
      <w:r>
        <w:rPr>
          <w:rFonts w:cs="Times New Roman"/>
        </w:rPr>
        <w:t>生态伦理观、</w:t>
      </w:r>
      <w:r>
        <w:rPr>
          <w:rFonts w:hint="eastAsia" w:cs="Times New Roman"/>
          <w:lang w:eastAsia="zh-CN"/>
        </w:rPr>
        <w:t>“</w:t>
      </w:r>
      <w:r>
        <w:rPr>
          <w:rFonts w:hint="eastAsia" w:cs="Times New Roman"/>
        </w:rPr>
        <w:t>取之有度、用之有节</w:t>
      </w:r>
      <w:r>
        <w:rPr>
          <w:rFonts w:hint="eastAsia" w:cs="Times New Roman"/>
          <w:lang w:eastAsia="zh-CN"/>
        </w:rPr>
        <w:t>”</w:t>
      </w:r>
      <w:r>
        <w:rPr>
          <w:rFonts w:hint="eastAsia" w:cs="Times New Roman"/>
        </w:rPr>
        <w:t>的生</w:t>
      </w:r>
      <w:r>
        <w:rPr>
          <w:rFonts w:cs="Times New Roman"/>
        </w:rPr>
        <w:t>态发展观，深入挖掘与传承革命老区红色文化</w:t>
      </w:r>
      <w:r>
        <w:rPr>
          <w:rFonts w:hint="eastAsia" w:cs="Times New Roman"/>
        </w:rPr>
        <w:t>，研究探索杭城社火、董传意拳、民间鼓乐、龙泉酒传统酿造技艺等非遗资源蕴藏的人与自然和谐的生态理念，开展传统生态文化资源普查、分类和鉴定工作，建立传统生态文化资源库，加强对生态文化载体的保护。梳理生态文化脉络，总结提炼生态文化核心价值，建立传统生态文化重点资源目录。到</w:t>
      </w:r>
      <w:r>
        <w:rPr>
          <w:rFonts w:cs="Times New Roman"/>
        </w:rPr>
        <w:t>2035</w:t>
      </w:r>
      <w:r>
        <w:rPr>
          <w:rFonts w:hint="eastAsia" w:cs="Times New Roman"/>
        </w:rPr>
        <w:t>年，建成彰显文化自信与多元包容的文化名城。</w:t>
      </w:r>
      <w:r>
        <w:rPr>
          <w:rFonts w:hint="eastAsia" w:eastAsia="楷体" w:cs="Times New Roman"/>
        </w:rPr>
        <w:t>（县委宣传部、市生态环境局文水分局、县文旅局）</w:t>
      </w:r>
    </w:p>
    <w:p>
      <w:pPr>
        <w:ind w:firstLine="643"/>
        <w:rPr>
          <w:rFonts w:cs="Times New Roman"/>
        </w:rPr>
      </w:pPr>
      <w:r>
        <w:rPr>
          <w:rFonts w:cs="Times New Roman"/>
          <w:b/>
          <w:bCs/>
        </w:rPr>
        <w:t>传承丰富生态文化价值。</w:t>
      </w:r>
      <w:r>
        <w:rPr>
          <w:rFonts w:hint="eastAsia" w:cs="Times New Roman"/>
        </w:rPr>
        <w:t>加强对古树名木、古村落、古河道等生态资源的保护和修复</w:t>
      </w:r>
      <w:r>
        <w:rPr>
          <w:rFonts w:cs="Times New Roman"/>
        </w:rPr>
        <w:t>，分类分级保护和修复具有时代印迹的生态文化形态，凝练传统生态智慧</w:t>
      </w:r>
      <w:r>
        <w:rPr>
          <w:rFonts w:hint="eastAsia" w:cs="Times New Roman"/>
        </w:rPr>
        <w:t>，彰显其历史文化内涵；加强自然保护地监管，保护生物多样性、保存自然遗产，为生态文化创意提供丰富素材，弘扬传统生态文化的当代价值。推进生态产品价值实现研究，不断丰富本土生态文化思想。</w:t>
      </w:r>
      <w:r>
        <w:rPr>
          <w:rFonts w:hint="eastAsia" w:eastAsia="楷体" w:cs="Times New Roman"/>
        </w:rPr>
        <w:t>（县委宣传部、市生态环境局文水分局、县文旅局）</w:t>
      </w:r>
    </w:p>
    <w:p>
      <w:pPr>
        <w:pStyle w:val="5"/>
        <w:spacing w:before="156" w:after="156"/>
        <w:ind w:firstLine="643"/>
        <w:rPr>
          <w:rFonts w:cs="Times New Roman"/>
        </w:rPr>
      </w:pPr>
      <w:bookmarkStart w:id="212" w:name="_Toc177067114"/>
      <w:bookmarkStart w:id="213" w:name="_Toc28088"/>
      <w:bookmarkStart w:id="214" w:name="_Toc175896025"/>
      <w:bookmarkStart w:id="215" w:name="_Toc2831"/>
      <w:bookmarkStart w:id="216" w:name="_Toc19722"/>
      <w:bookmarkStart w:id="217" w:name="_Toc176974261"/>
      <w:r>
        <w:rPr>
          <w:rFonts w:cs="Times New Roman"/>
        </w:rPr>
        <w:t>（二）弘扬倡导美丽生态文化</w:t>
      </w:r>
      <w:bookmarkEnd w:id="212"/>
      <w:bookmarkEnd w:id="213"/>
      <w:bookmarkEnd w:id="214"/>
      <w:bookmarkEnd w:id="215"/>
      <w:bookmarkEnd w:id="216"/>
      <w:bookmarkEnd w:id="217"/>
    </w:p>
    <w:p>
      <w:pPr>
        <w:pStyle w:val="2"/>
        <w:ind w:firstLine="643"/>
        <w:rPr>
          <w:rFonts w:eastAsia="楷体" w:cs="Times New Roman"/>
        </w:rPr>
      </w:pPr>
      <w:r>
        <w:rPr>
          <w:rFonts w:cs="Times New Roman"/>
          <w:b/>
          <w:bCs/>
        </w:rPr>
        <w:t>加强美丽文水文化品牌建设。</w:t>
      </w:r>
      <w:r>
        <w:rPr>
          <w:rFonts w:cs="Times New Roman"/>
        </w:rPr>
        <w:t>深入挖掘历史、人文、生态等资源，着力推进优秀传统文化的活化、物化和升华，以水润文，以文养水，打造</w:t>
      </w:r>
      <w:r>
        <w:rPr>
          <w:rFonts w:hint="eastAsia" w:cs="Times New Roman"/>
          <w:lang w:eastAsia="zh-CN"/>
        </w:rPr>
        <w:t>“</w:t>
      </w:r>
      <w:r>
        <w:rPr>
          <w:rFonts w:cs="Times New Roman"/>
        </w:rPr>
        <w:t>文至美 水至善</w:t>
      </w:r>
      <w:r>
        <w:rPr>
          <w:rFonts w:hint="eastAsia" w:cs="Times New Roman"/>
          <w:lang w:eastAsia="zh-CN"/>
        </w:rPr>
        <w:t>”</w:t>
      </w:r>
      <w:r>
        <w:rPr>
          <w:rFonts w:cs="Times New Roman"/>
        </w:rPr>
        <w:t>文化品牌，</w:t>
      </w:r>
      <w:r>
        <w:rPr>
          <w:rFonts w:cs="Times New Roman"/>
          <w:bCs/>
        </w:rPr>
        <w:t>保护传承弘扬黄河文化</w:t>
      </w:r>
      <w:r>
        <w:rPr>
          <w:rFonts w:cs="Times New Roman"/>
        </w:rPr>
        <w:t>。运用现代信息技术打造博物馆等所属的活态文化传承空间，在历史文化建筑、街区、古村落等开辟黄河文化活态传承空间，将黄河文化融入城乡建设和水利工程等基础设施建设。完善非遗文化传承活动场所，打造非遗文化活态传承基地。鼓励利用综合性文化服务中心、文化广场开辟民间非遗文化活动空间。对历史文化名镇名村、历史文化街区、历史建筑、名人故居、会馆商号等建筑进行保护开发，创新节庆、曲艺、艺术、研讨等文化活态传承载体，以活态传承为重点，开发特色鲜明的文博创意产品、非遗衍生产品。</w:t>
      </w:r>
      <w:r>
        <w:rPr>
          <w:rFonts w:eastAsia="楷体" w:cs="Times New Roman"/>
        </w:rPr>
        <w:t>（县文旅局、县住建局）</w:t>
      </w:r>
    </w:p>
    <w:p>
      <w:pPr>
        <w:ind w:firstLine="643"/>
        <w:rPr>
          <w:rFonts w:cs="Times New Roman"/>
        </w:rPr>
      </w:pPr>
      <w:r>
        <w:rPr>
          <w:rFonts w:hint="eastAsia" w:cs="Times New Roman"/>
          <w:b/>
          <w:bCs/>
        </w:rPr>
        <w:t>充分发挥群团组织的引领作用。</w:t>
      </w:r>
      <w:r>
        <w:rPr>
          <w:rFonts w:hint="eastAsia" w:cs="Times New Roman"/>
        </w:rPr>
        <w:t>充分发挥工会、共青团、妇联等群团组织的广泛动员作用以及行业协会商会的桥梁纽带作用，动员广大职工、青年、妇女及各界人士积极参与生态环境治理，自觉履行生态环境保护责任，自觉践行绿色生活方式。加强对环保社会组织的管理和指导，规范其参与环境治理的行为。鼓励媒体开展生态环境保护法律法规和知识宣传，对环境违法行为进行舆论监督。完善公众生态环境监督和举报反馈机制，推进生态环境志愿服务体系建设。将生态环保志愿服务作为新时代文明实践中心的重要活动，激励每个人都成为美丽文水建设的倡导者、行动者、示范者。</w:t>
      </w:r>
      <w:r>
        <w:rPr>
          <w:rFonts w:hint="eastAsia" w:eastAsia="楷体" w:cs="Times New Roman"/>
        </w:rPr>
        <w:t>（县总工会、</w:t>
      </w:r>
      <w:r>
        <w:rPr>
          <w:rFonts w:hint="eastAsia" w:eastAsia="楷体" w:cs="Times New Roman"/>
          <w:lang w:val="en-US" w:eastAsia="zh-CN"/>
        </w:rPr>
        <w:t>团县</w:t>
      </w:r>
      <w:r>
        <w:rPr>
          <w:rFonts w:hint="eastAsia" w:eastAsia="楷体" w:cs="Times New Roman"/>
        </w:rPr>
        <w:t>委、县妇联、县融媒体中心）</w:t>
      </w:r>
    </w:p>
    <w:p>
      <w:pPr>
        <w:pStyle w:val="5"/>
        <w:spacing w:before="156" w:after="156"/>
        <w:ind w:firstLine="643"/>
        <w:rPr>
          <w:rFonts w:cs="Times New Roman"/>
        </w:rPr>
      </w:pPr>
      <w:bookmarkStart w:id="218" w:name="_Toc397"/>
      <w:bookmarkStart w:id="219" w:name="_Toc177067115"/>
      <w:bookmarkStart w:id="220" w:name="_Toc23241"/>
      <w:bookmarkStart w:id="221" w:name="_Toc10612"/>
      <w:bookmarkStart w:id="222" w:name="_Toc175896026"/>
      <w:bookmarkStart w:id="223" w:name="_Toc176974262"/>
      <w:r>
        <w:rPr>
          <w:rFonts w:cs="Times New Roman"/>
        </w:rPr>
        <w:t>（三）推动形成全民生态自觉</w:t>
      </w:r>
      <w:bookmarkEnd w:id="218"/>
      <w:bookmarkEnd w:id="219"/>
      <w:bookmarkEnd w:id="220"/>
      <w:bookmarkEnd w:id="221"/>
      <w:bookmarkEnd w:id="222"/>
      <w:bookmarkEnd w:id="223"/>
    </w:p>
    <w:p>
      <w:pPr>
        <w:ind w:firstLine="643"/>
        <w:rPr>
          <w:rFonts w:cs="Times New Roman"/>
        </w:rPr>
      </w:pPr>
      <w:r>
        <w:rPr>
          <w:rFonts w:hint="eastAsia" w:cs="Times New Roman"/>
          <w:b/>
          <w:bCs/>
        </w:rPr>
        <w:t>提升全民生态意识。</w:t>
      </w:r>
      <w:r>
        <w:rPr>
          <w:rFonts w:hint="eastAsia" w:cs="Times New Roman"/>
        </w:rPr>
        <w:t>以世界环境日、全国生态日等主题活动为契机，普及生态环保知识，弘扬生态人文精神，让生态环保行为成为社会生活中的主流。建立包括机关、企业、社区、学校和家庭等在内的生态文明教育网络体系，鼓励、引导、支持创建各类环境教育基地，积极培育生态环境讲解员，开展环保微宣讲，推进环境保护宣传教育进社区、进农村、进家庭、进企业、进机关。积极引导和促进公园、自然保护区、风景名胜区、车站、电影院等公共场所以及专业科技馆、博物馆、安全体验场馆和科普创意园等强化生态文明科普服务功能，宣传美丽文水建设生动实践。鼓励文化艺术界人士积极参与生态文化建设，开展生态文化采风活动，加大生态文化产品创作和传播力度，注重从传统文化中挖掘生态题材，彰显山清水秀美丽之地的人文精神之美。</w:t>
      </w:r>
      <w:r>
        <w:rPr>
          <w:rFonts w:hint="eastAsia" w:eastAsia="楷体" w:cs="Times New Roman"/>
        </w:rPr>
        <w:t>（县委宣传部、市生态环境局文水分局、县文旅局、县教体局）</w:t>
      </w:r>
    </w:p>
    <w:p>
      <w:pPr>
        <w:ind w:firstLine="643"/>
        <w:rPr>
          <w:rFonts w:cs="Times New Roman"/>
        </w:rPr>
      </w:pPr>
      <w:r>
        <w:rPr>
          <w:rFonts w:cs="Times New Roman"/>
          <w:b/>
          <w:bCs/>
        </w:rPr>
        <w:t>强化全民自觉行动。</w:t>
      </w:r>
      <w:r>
        <w:rPr>
          <w:rFonts w:cs="Times New Roman"/>
        </w:rPr>
        <w:t>积极引导公众衣、食、住、行、游等向简约适度、绿色低碳、文明健康的方向转变，坚决抵制和反对各种形式的奢侈浪费。倡导</w:t>
      </w:r>
      <w:r>
        <w:rPr>
          <w:rFonts w:hint="eastAsia" w:cs="Times New Roman"/>
          <w:lang w:eastAsia="zh-CN"/>
        </w:rPr>
        <w:t>“</w:t>
      </w:r>
      <w:r>
        <w:rPr>
          <w:rFonts w:cs="Times New Roman"/>
        </w:rPr>
        <w:t>135</w:t>
      </w:r>
      <w:r>
        <w:rPr>
          <w:rFonts w:hint="eastAsia" w:cs="Times New Roman"/>
          <w:lang w:eastAsia="zh-CN"/>
        </w:rPr>
        <w:t>”</w:t>
      </w:r>
      <w:r>
        <w:rPr>
          <w:rFonts w:cs="Times New Roman"/>
        </w:rPr>
        <w:t>绿色低碳出行方式，鼓励购买小排量汽车、新能源汽车。倡导绿色办公，践行绿色消费，减少一次性用品使用。深入推进</w:t>
      </w:r>
      <w:r>
        <w:rPr>
          <w:rFonts w:hint="eastAsia" w:cs="Times New Roman"/>
          <w:lang w:eastAsia="zh-CN"/>
        </w:rPr>
        <w:t>“</w:t>
      </w:r>
      <w:r>
        <w:rPr>
          <w:rFonts w:hint="eastAsia" w:cs="Times New Roman"/>
        </w:rPr>
        <w:t>光盘行动</w:t>
      </w:r>
      <w:r>
        <w:rPr>
          <w:rFonts w:hint="eastAsia" w:cs="Times New Roman"/>
          <w:lang w:eastAsia="zh-CN"/>
        </w:rPr>
        <w:t>”</w:t>
      </w:r>
      <w:r>
        <w:rPr>
          <w:rFonts w:hint="eastAsia" w:cs="Times New Roman"/>
        </w:rPr>
        <w:t>，坚决纠治</w:t>
      </w:r>
      <w:r>
        <w:rPr>
          <w:rFonts w:hint="eastAsia" w:cs="Times New Roman"/>
          <w:lang w:eastAsia="zh-CN"/>
        </w:rPr>
        <w:t>“</w:t>
      </w:r>
      <w:r>
        <w:rPr>
          <w:rFonts w:hint="eastAsia" w:cs="Times New Roman"/>
        </w:rPr>
        <w:t>舌尖上的浪费</w:t>
      </w:r>
      <w:r>
        <w:rPr>
          <w:rFonts w:hint="eastAsia" w:cs="Times New Roman"/>
          <w:lang w:eastAsia="zh-CN"/>
        </w:rPr>
        <w:t>”</w:t>
      </w:r>
      <w:r>
        <w:rPr>
          <w:rFonts w:cs="Times New Roman"/>
        </w:rPr>
        <w:t>，拒绝食用野生动植物。提升垃圾分类管理水平。探索建立</w:t>
      </w:r>
      <w:r>
        <w:rPr>
          <w:rFonts w:hint="eastAsia" w:cs="Times New Roman"/>
          <w:lang w:eastAsia="zh-CN"/>
        </w:rPr>
        <w:t>“</w:t>
      </w:r>
      <w:r>
        <w:rPr>
          <w:rFonts w:hint="eastAsia" w:cs="Times New Roman"/>
        </w:rPr>
        <w:t>碳普惠</w:t>
      </w:r>
      <w:r>
        <w:rPr>
          <w:rFonts w:hint="eastAsia" w:cs="Times New Roman"/>
          <w:lang w:eastAsia="zh-CN"/>
        </w:rPr>
        <w:t>”</w:t>
      </w:r>
      <w:r>
        <w:rPr>
          <w:rFonts w:cs="Times New Roman"/>
        </w:rPr>
        <w:t>等公众参与机制，引导居民践行绿色低碳生活</w:t>
      </w:r>
      <w:r>
        <w:rPr>
          <w:rFonts w:hint="eastAsia" w:cs="Times New Roman"/>
        </w:rPr>
        <w:t>方式</w:t>
      </w:r>
      <w:r>
        <w:rPr>
          <w:rFonts w:cs="Times New Roman"/>
        </w:rPr>
        <w:t>。</w:t>
      </w:r>
      <w:r>
        <w:rPr>
          <w:rFonts w:hint="eastAsia" w:eastAsia="楷体" w:cs="Times New Roman"/>
        </w:rPr>
        <w:t>（县委宣传部、市生态环境局文水分局）</w:t>
      </w:r>
    </w:p>
    <w:p>
      <w:pPr>
        <w:ind w:firstLine="643"/>
        <w:rPr>
          <w:rFonts w:cs="Times New Roman"/>
        </w:rPr>
      </w:pPr>
      <w:r>
        <w:rPr>
          <w:rFonts w:cs="Times New Roman"/>
          <w:b/>
          <w:bCs/>
        </w:rPr>
        <w:t>引导社会各界积极参与生态文明建设。</w:t>
      </w:r>
      <w:r>
        <w:rPr>
          <w:rFonts w:cs="Times New Roman"/>
        </w:rPr>
        <w:t>推广绿色低碳标志产品，</w:t>
      </w:r>
      <w:r>
        <w:rPr>
          <w:rFonts w:hint="eastAsia" w:cs="Times New Roman"/>
        </w:rPr>
        <w:t>优化政府绿色采购政策，推行绿色产品优先。鼓励公共机构践行绿色低碳理念，广泛开展节约型机关、绿色家庭、绿色学校、绿色社区创建活动。开展绿色物流体系建设，提升快递包装袋回收利用水平。深入实施城市公共交通优先发展战略，推进公共交通、中短途客运、物流运输、出租车、城镇公共事业等领域应用新能源和清洁能源车应用，引导共享出行有序发展。开展公民生态环境行为调查，发布文水县生态文明建设公约，建立和完善绿色生活激励回馈机制。加大对保护和改善生态环境先进集体和个人的表彰奖励力度。</w:t>
      </w:r>
      <w:r>
        <w:rPr>
          <w:rFonts w:hint="eastAsia" w:eastAsia="楷体" w:cs="Times New Roman"/>
        </w:rPr>
        <w:t>（县委宣传部、市生态环境局文水分局、县交通局）</w:t>
      </w:r>
    </w:p>
    <w:p>
      <w:pPr>
        <w:pStyle w:val="4"/>
        <w:spacing w:line="240" w:lineRule="auto"/>
        <w:ind w:firstLine="640"/>
        <w:jc w:val="left"/>
        <w:rPr>
          <w:rFonts w:cs="Times New Roman"/>
        </w:rPr>
      </w:pPr>
      <w:bookmarkStart w:id="224" w:name="_Toc177067116"/>
      <w:bookmarkStart w:id="225" w:name="_Toc176974263"/>
      <w:bookmarkStart w:id="226" w:name="_Toc5161"/>
      <w:bookmarkStart w:id="227" w:name="_Toc11015"/>
      <w:bookmarkStart w:id="228" w:name="_Toc28801"/>
      <w:r>
        <w:rPr>
          <w:rFonts w:hint="eastAsia" w:cs="Times New Roman"/>
          <w:lang w:val="en-US" w:eastAsia="zh-CN"/>
        </w:rPr>
        <w:t>八</w:t>
      </w:r>
      <w:r>
        <w:rPr>
          <w:rFonts w:cs="Times New Roman"/>
        </w:rPr>
        <w:t>、推动多元协同共治，完善</w:t>
      </w:r>
      <w:r>
        <w:rPr>
          <w:rFonts w:hint="eastAsia" w:cs="Times New Roman"/>
          <w:lang w:eastAsia="zh-CN"/>
        </w:rPr>
        <w:t>“</w:t>
      </w:r>
      <w:r>
        <w:rPr>
          <w:rFonts w:cs="Times New Roman"/>
        </w:rPr>
        <w:t>智慧高效、保障有力</w:t>
      </w:r>
      <w:r>
        <w:rPr>
          <w:rFonts w:hint="eastAsia" w:cs="Times New Roman"/>
          <w:lang w:eastAsia="zh-CN"/>
        </w:rPr>
        <w:t>”</w:t>
      </w:r>
      <w:r>
        <w:rPr>
          <w:rFonts w:cs="Times New Roman"/>
        </w:rPr>
        <w:t>的治理体系</w:t>
      </w:r>
      <w:bookmarkEnd w:id="224"/>
      <w:bookmarkEnd w:id="225"/>
      <w:bookmarkEnd w:id="226"/>
      <w:bookmarkEnd w:id="227"/>
      <w:bookmarkEnd w:id="228"/>
    </w:p>
    <w:p>
      <w:pPr>
        <w:pStyle w:val="5"/>
        <w:spacing w:before="156" w:after="156" w:line="240" w:lineRule="auto"/>
        <w:ind w:firstLine="643"/>
        <w:rPr>
          <w:rFonts w:cs="Times New Roman"/>
        </w:rPr>
      </w:pPr>
      <w:bookmarkStart w:id="229" w:name="_Toc177067117"/>
      <w:bookmarkStart w:id="230" w:name="_Toc175896031"/>
      <w:bookmarkStart w:id="231" w:name="_Toc10203"/>
      <w:bookmarkStart w:id="232" w:name="_Toc176974264"/>
      <w:bookmarkStart w:id="233" w:name="_Toc22842"/>
      <w:bookmarkStart w:id="234" w:name="_Toc19262"/>
      <w:r>
        <w:rPr>
          <w:rFonts w:cs="Times New Roman"/>
        </w:rPr>
        <w:t>（一）健全生态环境保护制度体系</w:t>
      </w:r>
      <w:bookmarkEnd w:id="229"/>
      <w:bookmarkEnd w:id="230"/>
      <w:bookmarkEnd w:id="231"/>
      <w:bookmarkEnd w:id="232"/>
      <w:bookmarkEnd w:id="233"/>
      <w:bookmarkEnd w:id="234"/>
    </w:p>
    <w:p>
      <w:pPr>
        <w:ind w:firstLine="643"/>
        <w:rPr>
          <w:rFonts w:eastAsia="楷体" w:cs="Times New Roman"/>
        </w:rPr>
      </w:pPr>
      <w:r>
        <w:rPr>
          <w:rFonts w:hint="eastAsia" w:cs="Times New Roman"/>
          <w:b/>
          <w:bCs/>
        </w:rPr>
        <w:t>健全生态环境治理领导责任体系。</w:t>
      </w:r>
      <w:r>
        <w:rPr>
          <w:rFonts w:hint="eastAsia" w:cs="Times New Roman"/>
        </w:rPr>
        <w:t>坚持党政同责、一岗双责，严格落实生态环境保护党政主体责任、部门监管责任，负有生态环境保护重要职责的部门应明确具体机构和岗位。强化国土空间、绿色发展、生态系统、环境质量等约束性指标管理，完善精准治污、科学治污、依法治污制度机制，深化领导干部自然资源资产离任审计，严格党政领导干部生态环境损害责任追究，实行失职追责和损害担责。强化县生态环境保护委员会在生态环境治理综合决策、统筹协调、考核评价、督促落实方面职责。</w:t>
      </w:r>
      <w:r>
        <w:rPr>
          <w:rFonts w:hint="eastAsia" w:eastAsia="楷体" w:cs="Times New Roman"/>
        </w:rPr>
        <w:t>（县政府办公室、市生态环境局文水分局、县审计局）</w:t>
      </w:r>
    </w:p>
    <w:p>
      <w:pPr>
        <w:ind w:firstLine="643"/>
        <w:rPr>
          <w:rFonts w:cs="Times New Roman"/>
        </w:rPr>
      </w:pPr>
      <w:r>
        <w:rPr>
          <w:rFonts w:cs="Times New Roman"/>
          <w:b/>
          <w:bCs/>
        </w:rPr>
        <w:t>健全生态环境治理社会责任体系。</w:t>
      </w:r>
      <w:r>
        <w:rPr>
          <w:rFonts w:cs="Times New Roman"/>
        </w:rPr>
        <w:t>全面落实以排污许可制为核心的固定污染源监管制度</w:t>
      </w:r>
      <w:r>
        <w:rPr>
          <w:rFonts w:hint="eastAsia" w:cs="Times New Roman"/>
        </w:rPr>
        <w:t>，建立新污染物协同治理和环境风险管控体系，推进多污染物协同减排。严格落实生产者责任延伸制度，落实企业污染治理、损害赔偿和生态修复责任。深化环境信息依法披露制度改革，加强重点企业（国控）强制性环境治理信息披露，构建环境信用监管体系。引导排污企业通过设立企业开放日、建设教育体验场所等形式定期向社会公众开放，破解</w:t>
      </w:r>
      <w:r>
        <w:rPr>
          <w:rFonts w:hint="eastAsia" w:cs="Times New Roman"/>
          <w:lang w:eastAsia="zh-CN"/>
        </w:rPr>
        <w:t>“</w:t>
      </w:r>
      <w:r>
        <w:rPr>
          <w:rFonts w:hint="eastAsia" w:cs="Times New Roman"/>
        </w:rPr>
        <w:t>邻避效应</w:t>
      </w:r>
      <w:r>
        <w:rPr>
          <w:rFonts w:hint="eastAsia" w:cs="Times New Roman"/>
          <w:lang w:eastAsia="zh-CN"/>
        </w:rPr>
        <w:t>”</w:t>
      </w:r>
      <w:r>
        <w:rPr>
          <w:rFonts w:cs="Times New Roman"/>
        </w:rPr>
        <w:t>。充分发挥行业自律监督功能，健全企业环境信用等级评价制度，推行企业</w:t>
      </w:r>
      <w:r>
        <w:rPr>
          <w:rFonts w:hint="eastAsia" w:cs="Times New Roman"/>
          <w:lang w:eastAsia="zh-CN"/>
        </w:rPr>
        <w:t>“</w:t>
      </w:r>
      <w:r>
        <w:rPr>
          <w:rFonts w:hint="eastAsia" w:cs="Times New Roman"/>
        </w:rPr>
        <w:t>环保码</w:t>
      </w:r>
      <w:r>
        <w:rPr>
          <w:rFonts w:hint="eastAsia" w:cs="Times New Roman"/>
          <w:lang w:eastAsia="zh-CN"/>
        </w:rPr>
        <w:t>”</w:t>
      </w:r>
      <w:r>
        <w:rPr>
          <w:rFonts w:cs="Times New Roman"/>
        </w:rPr>
        <w:t>，约束和惩戒企业环境失信行为，同步建立信用修复机制。</w:t>
      </w:r>
      <w:r>
        <w:rPr>
          <w:rFonts w:hint="eastAsia" w:eastAsia="楷体" w:cs="Times New Roman"/>
        </w:rPr>
        <w:t>（市生态环境局文水分局）</w:t>
      </w:r>
    </w:p>
    <w:p>
      <w:pPr>
        <w:pStyle w:val="5"/>
        <w:spacing w:before="156" w:after="156"/>
        <w:ind w:firstLine="643"/>
        <w:rPr>
          <w:rFonts w:cs="Times New Roman"/>
        </w:rPr>
      </w:pPr>
      <w:bookmarkStart w:id="235" w:name="_Toc6726"/>
      <w:bookmarkStart w:id="236" w:name="_Toc3479"/>
      <w:bookmarkStart w:id="237" w:name="_Toc176974265"/>
      <w:bookmarkStart w:id="238" w:name="_Toc175896032"/>
      <w:bookmarkStart w:id="239" w:name="_Toc14368"/>
      <w:bookmarkStart w:id="240" w:name="_Toc177067118"/>
      <w:r>
        <w:rPr>
          <w:rFonts w:cs="Times New Roman"/>
        </w:rPr>
        <w:t>（二）提升生态环境监管服务能力</w:t>
      </w:r>
      <w:bookmarkEnd w:id="235"/>
      <w:bookmarkEnd w:id="236"/>
      <w:bookmarkEnd w:id="237"/>
      <w:bookmarkEnd w:id="238"/>
      <w:bookmarkEnd w:id="239"/>
      <w:bookmarkEnd w:id="240"/>
    </w:p>
    <w:p>
      <w:pPr>
        <w:ind w:firstLine="643"/>
        <w:rPr>
          <w:rFonts w:cs="Times New Roman"/>
        </w:rPr>
      </w:pPr>
      <w:r>
        <w:rPr>
          <w:rFonts w:hint="eastAsia" w:cs="Times New Roman"/>
          <w:b/>
          <w:bCs/>
        </w:rPr>
        <w:t>健全生态环境治理监管体系。</w:t>
      </w:r>
      <w:r>
        <w:rPr>
          <w:rFonts w:hint="eastAsia" w:cs="Times New Roman"/>
        </w:rPr>
        <w:t>健全乡镇（街道）生态环境网格化监管体系，完善网格员巡查管理制度，全面推行</w:t>
      </w:r>
      <w:r>
        <w:rPr>
          <w:rFonts w:hint="eastAsia" w:cs="Times New Roman"/>
          <w:lang w:eastAsia="zh-CN"/>
        </w:rPr>
        <w:t>“</w:t>
      </w:r>
      <w:r>
        <w:rPr>
          <w:rFonts w:hint="eastAsia" w:cs="Times New Roman"/>
        </w:rPr>
        <w:t>双随机、一公开</w:t>
      </w:r>
      <w:r>
        <w:rPr>
          <w:rFonts w:hint="eastAsia" w:cs="Times New Roman"/>
          <w:lang w:eastAsia="zh-CN"/>
        </w:rPr>
        <w:t>”</w:t>
      </w:r>
      <w:r>
        <w:rPr>
          <w:rFonts w:hint="eastAsia" w:cs="Times New Roman"/>
        </w:rPr>
        <w:t>和环境信用监管模式。健全环境污染问题发现机制，推行有奖举报制度。推动在生态环境执法全过程中普法，推行说理式执法。开展</w:t>
      </w:r>
      <w:r>
        <w:rPr>
          <w:rFonts w:hint="eastAsia" w:cs="Times New Roman"/>
          <w:lang w:eastAsia="zh-CN"/>
        </w:rPr>
        <w:t>“</w:t>
      </w:r>
      <w:r>
        <w:rPr>
          <w:rFonts w:hint="eastAsia" w:cs="Times New Roman"/>
        </w:rPr>
        <w:t>送法入企</w:t>
      </w:r>
      <w:r>
        <w:rPr>
          <w:rFonts w:hint="eastAsia" w:cs="Times New Roman"/>
          <w:lang w:eastAsia="zh-CN"/>
        </w:rPr>
        <w:t>”</w:t>
      </w:r>
      <w:r>
        <w:rPr>
          <w:rFonts w:hint="eastAsia" w:cs="Times New Roman"/>
        </w:rPr>
        <w:t>活动</w:t>
      </w:r>
      <w:r>
        <w:rPr>
          <w:rFonts w:cs="Times New Roman"/>
        </w:rPr>
        <w:t>，重点针对中小企业进行执法帮扶，每年至少开展1次普法培训。完善生态环境保护综合行政执法与刑事司法衔接机制，加大对破坏生态环境违法犯罪案件移送、侦查、起诉和审判力度。完善生态环境损害赔偿制度与生态环境公益诉讼的衔接机制，健全生态环境案件集中管辖机制，完善环境损害救济维护制度。</w:t>
      </w:r>
      <w:r>
        <w:rPr>
          <w:rFonts w:hint="eastAsia" w:eastAsia="楷体" w:cs="Times New Roman"/>
        </w:rPr>
        <w:t>（市生态环境局文水分局、县司法局）</w:t>
      </w:r>
    </w:p>
    <w:p>
      <w:pPr>
        <w:ind w:firstLine="643"/>
        <w:rPr>
          <w:rFonts w:eastAsia="楷体" w:cs="Times New Roman"/>
        </w:rPr>
      </w:pPr>
      <w:r>
        <w:rPr>
          <w:rFonts w:cs="Times New Roman"/>
          <w:b/>
          <w:bCs/>
        </w:rPr>
        <w:t>强化环境监管监测能力建设。</w:t>
      </w:r>
      <w:r>
        <w:rPr>
          <w:rFonts w:hint="eastAsia" w:cs="Times New Roman"/>
          <w:bCs/>
        </w:rPr>
        <w:t>实施分区域、差异化、精准管控的生态环境管理制度，健全生态环境监测和评价制度。</w:t>
      </w:r>
      <w:r>
        <w:rPr>
          <w:rFonts w:cs="Times New Roman"/>
          <w:bCs/>
        </w:rPr>
        <w:t>推动</w:t>
      </w:r>
      <w:r>
        <w:rPr>
          <w:rFonts w:hint="eastAsia" w:cs="Times New Roman"/>
          <w:bCs/>
        </w:rPr>
        <w:t>监测网点位布设向乡镇、农村延伸，</w:t>
      </w:r>
      <w:r>
        <w:rPr>
          <w:rFonts w:hint="eastAsia" w:cs="Times New Roman"/>
        </w:rPr>
        <w:t>加快实现大气乡镇监测站点全覆盖。加强空气质量与颗粒物组分、挥发性有机物组分协同监测和质控。持续推进噪声监测自动化，稳步开展振动、光、氨气、恶臭污染物等监测。</w:t>
      </w:r>
      <w:r>
        <w:rPr>
          <w:rFonts w:cs="Times New Roman"/>
        </w:rPr>
        <w:t>持续推进乡镇水质自动站建设，建立</w:t>
      </w:r>
      <w:r>
        <w:rPr>
          <w:rFonts w:hint="eastAsia" w:cs="Times New Roman"/>
        </w:rPr>
        <w:t>汛期污染强度和入河排污口监测评估体系，完善</w:t>
      </w:r>
      <w:r>
        <w:rPr>
          <w:rFonts w:cs="Times New Roman"/>
        </w:rPr>
        <w:t>地表水环境监测预警系统。</w:t>
      </w:r>
      <w:r>
        <w:rPr>
          <w:rFonts w:hint="eastAsia" w:cs="Times New Roman"/>
        </w:rPr>
        <w:t>健全分级分类的地下水环境监测评价体系，加强土壤污染重点监管单位周边环境监测和农业面源监测。在重点园区因地制宜开展异味评价监测、固体废物流转过程监控、有毒有害气体环境风险预警监测、高空</w:t>
      </w:r>
      <w:r>
        <w:rPr>
          <w:rFonts w:hint="eastAsia" w:eastAsia="宋体" w:cs="Times New Roman"/>
        </w:rPr>
        <w:t>瞭</w:t>
      </w:r>
      <w:r>
        <w:rPr>
          <w:rFonts w:hint="eastAsia" w:cs="Times New Roman"/>
        </w:rPr>
        <w:t>望视频系统等设施建设。加强各类环境监测机构监管，提高监测数据质量，依法严惩数据造假行为。</w:t>
      </w:r>
      <w:r>
        <w:rPr>
          <w:rFonts w:hint="eastAsia" w:eastAsia="楷体" w:cs="Times New Roman"/>
        </w:rPr>
        <w:t>（市生态环境局文水分局）</w:t>
      </w:r>
    </w:p>
    <w:p>
      <w:pPr>
        <w:ind w:firstLine="643"/>
        <w:rPr>
          <w:rFonts w:cs="Times New Roman"/>
        </w:rPr>
      </w:pPr>
      <w:r>
        <w:rPr>
          <w:rFonts w:cs="Times New Roman"/>
          <w:b/>
          <w:bCs/>
        </w:rPr>
        <w:t>规范公平开放的环境服务业市场。</w:t>
      </w:r>
      <w:r>
        <w:rPr>
          <w:rFonts w:cs="Times New Roman"/>
        </w:rPr>
        <w:t>平等对待各类环境治理市场主体，引导社会资本参与污染防治和生态保护。加强对环境服务机构的监督管理，完善环境</w:t>
      </w:r>
      <w:r>
        <w:rPr>
          <w:rFonts w:hint="eastAsia" w:cs="Times New Roman"/>
        </w:rPr>
        <w:t>服务业惩戒和退出机制，加快形成公开透明、规范有序的市场环境。积极扶持专特优精中小企业。鼓励环境治理模式创新，开展小城镇环境综合治理托管服务试点，支持</w:t>
      </w:r>
      <w:r>
        <w:rPr>
          <w:rFonts w:hint="eastAsia" w:cs="Times New Roman"/>
          <w:lang w:eastAsia="zh-CN"/>
        </w:rPr>
        <w:t>“</w:t>
      </w:r>
      <w:r>
        <w:rPr>
          <w:rFonts w:hint="eastAsia" w:cs="Times New Roman"/>
        </w:rPr>
        <w:t>环境医院</w:t>
      </w:r>
      <w:r>
        <w:rPr>
          <w:rFonts w:hint="eastAsia" w:cs="Times New Roman"/>
          <w:lang w:eastAsia="zh-CN"/>
        </w:rPr>
        <w:t>”“</w:t>
      </w:r>
      <w:r>
        <w:rPr>
          <w:rFonts w:hint="eastAsia" w:cs="Times New Roman"/>
        </w:rPr>
        <w:t>环保管家</w:t>
      </w:r>
      <w:r>
        <w:rPr>
          <w:rFonts w:hint="eastAsia" w:cs="Times New Roman"/>
          <w:lang w:eastAsia="zh-CN"/>
        </w:rPr>
        <w:t>”“</w:t>
      </w:r>
      <w:r>
        <w:rPr>
          <w:rFonts w:hint="eastAsia" w:cs="Times New Roman"/>
        </w:rPr>
        <w:t>环保超市</w:t>
      </w:r>
      <w:r>
        <w:rPr>
          <w:rFonts w:hint="eastAsia" w:cs="Times New Roman"/>
          <w:lang w:eastAsia="zh-CN"/>
        </w:rPr>
        <w:t>”</w:t>
      </w:r>
      <w:r>
        <w:rPr>
          <w:rFonts w:hint="eastAsia" w:cs="Times New Roman"/>
        </w:rPr>
        <w:t>等第三方诊断、服务等新模式新业态。探索</w:t>
      </w:r>
      <w:r>
        <w:rPr>
          <w:rFonts w:hint="eastAsia" w:cs="Times New Roman"/>
          <w:highlight w:val="none"/>
        </w:rPr>
        <w:t>在环境高风险领域推行环境污染强制责任保险制度</w:t>
      </w:r>
      <w:r>
        <w:rPr>
          <w:rFonts w:hint="eastAsia" w:cs="Times New Roman"/>
        </w:rPr>
        <w:t>。</w:t>
      </w:r>
      <w:r>
        <w:rPr>
          <w:rFonts w:cs="Times New Roman"/>
        </w:rPr>
        <w:t>对</w:t>
      </w:r>
      <w:r>
        <w:rPr>
          <w:rFonts w:hint="eastAsia" w:cs="Times New Roman"/>
        </w:rPr>
        <w:t>工业</w:t>
      </w:r>
      <w:r>
        <w:rPr>
          <w:rFonts w:cs="Times New Roman"/>
        </w:rPr>
        <w:t>污染地块，</w:t>
      </w:r>
      <w:r>
        <w:rPr>
          <w:rFonts w:hint="eastAsia" w:cs="Times New Roman"/>
        </w:rPr>
        <w:t>鼓</w:t>
      </w:r>
      <w:r>
        <w:rPr>
          <w:rFonts w:cs="Times New Roman"/>
        </w:rPr>
        <w:t>励采用</w:t>
      </w:r>
      <w:r>
        <w:rPr>
          <w:rFonts w:hint="eastAsia" w:cs="Times New Roman"/>
          <w:lang w:eastAsia="zh-CN"/>
        </w:rPr>
        <w:t>“</w:t>
      </w:r>
      <w:r>
        <w:rPr>
          <w:rFonts w:hint="eastAsia" w:cs="Times New Roman"/>
        </w:rPr>
        <w:t>环境修复</w:t>
      </w:r>
      <w:r>
        <w:rPr>
          <w:rFonts w:cs="Times New Roman"/>
        </w:rPr>
        <w:t>+</w:t>
      </w:r>
      <w:r>
        <w:rPr>
          <w:rFonts w:hint="eastAsia" w:cs="Times New Roman"/>
        </w:rPr>
        <w:t>开发建设</w:t>
      </w:r>
      <w:r>
        <w:rPr>
          <w:rFonts w:hint="eastAsia" w:cs="Times New Roman"/>
          <w:lang w:eastAsia="zh-CN"/>
        </w:rPr>
        <w:t>”</w:t>
      </w:r>
      <w:r>
        <w:rPr>
          <w:rFonts w:hint="eastAsia" w:cs="Times New Roman"/>
        </w:rPr>
        <w:t>模式</w:t>
      </w:r>
      <w:r>
        <w:rPr>
          <w:rFonts w:cs="Times New Roman"/>
        </w:rPr>
        <w:t>。</w:t>
      </w:r>
      <w:r>
        <w:rPr>
          <w:rFonts w:hint="eastAsia" w:eastAsia="楷体" w:cs="Times New Roman"/>
        </w:rPr>
        <w:t>（县市场监管局、县财政局、县自然资源局）</w:t>
      </w:r>
    </w:p>
    <w:p>
      <w:pPr>
        <w:pStyle w:val="5"/>
        <w:spacing w:before="156" w:after="156"/>
        <w:ind w:firstLine="643"/>
        <w:rPr>
          <w:rFonts w:cs="Times New Roman"/>
        </w:rPr>
      </w:pPr>
      <w:bookmarkStart w:id="241" w:name="_Toc23430"/>
      <w:bookmarkStart w:id="242" w:name="_Toc176974266"/>
      <w:bookmarkStart w:id="243" w:name="_Toc7218"/>
      <w:bookmarkStart w:id="244" w:name="_Toc1763"/>
      <w:bookmarkStart w:id="245" w:name="_Toc177067119"/>
      <w:bookmarkStart w:id="246" w:name="_Toc175896034"/>
      <w:r>
        <w:rPr>
          <w:rFonts w:cs="Times New Roman"/>
        </w:rPr>
        <w:t>（三）优化绿色发展激励约束机制</w:t>
      </w:r>
      <w:bookmarkEnd w:id="241"/>
      <w:bookmarkEnd w:id="242"/>
      <w:bookmarkEnd w:id="243"/>
      <w:bookmarkEnd w:id="244"/>
      <w:bookmarkEnd w:id="245"/>
      <w:bookmarkEnd w:id="246"/>
    </w:p>
    <w:p>
      <w:pPr>
        <w:pStyle w:val="2"/>
        <w:spacing w:line="240" w:lineRule="auto"/>
        <w:ind w:firstLine="643"/>
        <w:rPr>
          <w:rFonts w:eastAsia="楷体" w:cs="Times New Roman"/>
        </w:rPr>
      </w:pPr>
      <w:r>
        <w:rPr>
          <w:rFonts w:cs="Times New Roman"/>
          <w:b/>
          <w:bCs/>
        </w:rPr>
        <w:t>探索建立资源和环境市场化机制。</w:t>
      </w:r>
      <w:r>
        <w:rPr>
          <w:rFonts w:cs="Times New Roman"/>
        </w:rPr>
        <w:t>健全资源环境要素市场化配置体系，持续推进排污权有偿使用和交易工作，严格控制新增主要污染物排放量。逐步推动将排污权交易制度与排污许可制度有效衔接起来，明确可出让排污权与许可量的关系。积极参与全国碳排放权交易。完善水权制度，构建权属清楚、权责明确、监管有效、流转顺畅的水权体系。推动零散工业用地向园区集聚，加大力度盘活存量土地和低效用地。深化拓展</w:t>
      </w:r>
      <w:r>
        <w:rPr>
          <w:rFonts w:hint="eastAsia" w:cs="Times New Roman"/>
          <w:lang w:eastAsia="zh-CN"/>
        </w:rPr>
        <w:t>“</w:t>
      </w:r>
      <w:r>
        <w:rPr>
          <w:rFonts w:cs="Times New Roman"/>
        </w:rPr>
        <w:t>标准地</w:t>
      </w:r>
      <w:r>
        <w:rPr>
          <w:rFonts w:hint="eastAsia" w:cs="Times New Roman"/>
          <w:lang w:eastAsia="zh-CN"/>
        </w:rPr>
        <w:t>”</w:t>
      </w:r>
      <w:r>
        <w:rPr>
          <w:rFonts w:cs="Times New Roman"/>
        </w:rPr>
        <w:t>改革，持续推进</w:t>
      </w:r>
      <w:r>
        <w:rPr>
          <w:rFonts w:hint="eastAsia" w:cs="Times New Roman"/>
          <w:lang w:eastAsia="zh-CN"/>
        </w:rPr>
        <w:t>“</w:t>
      </w:r>
      <w:r>
        <w:rPr>
          <w:rFonts w:cs="Times New Roman"/>
        </w:rPr>
        <w:t>增存挂钩</w:t>
      </w:r>
      <w:r>
        <w:rPr>
          <w:rFonts w:hint="eastAsia" w:cs="Times New Roman"/>
          <w:lang w:eastAsia="zh-CN"/>
        </w:rPr>
        <w:t>”</w:t>
      </w:r>
      <w:r>
        <w:rPr>
          <w:rFonts w:cs="Times New Roman"/>
        </w:rPr>
        <w:t>机制。落实矿产资源有偿使用制度，持续规范矿业权拍卖、挂牌网上交易。建立健全污水处理、垃圾处理、危险废物处置等差别化收费机制。完善以农业绿色发展为导向的经济激励政策，支持化肥农药减量增效和整县推进畜禽粪污收集处理利用。</w:t>
      </w:r>
      <w:r>
        <w:rPr>
          <w:rFonts w:eastAsia="楷体" w:cs="Times New Roman"/>
        </w:rPr>
        <w:t>（县自然资源局、县发改局、县水利局、市生态环境局文水分局、县能源局）</w:t>
      </w:r>
    </w:p>
    <w:p>
      <w:pPr>
        <w:spacing w:line="240" w:lineRule="auto"/>
        <w:ind w:firstLine="643"/>
        <w:rPr>
          <w:rFonts w:cs="Times New Roman"/>
        </w:rPr>
      </w:pPr>
      <w:r>
        <w:rPr>
          <w:rFonts w:hint="eastAsia" w:cs="Times New Roman"/>
          <w:b/>
          <w:bCs/>
        </w:rPr>
        <w:t>推进生态产品价值转化。</w:t>
      </w:r>
      <w:r>
        <w:rPr>
          <w:rFonts w:hint="eastAsia" w:cs="Times New Roman"/>
          <w:bCs/>
        </w:rPr>
        <w:t>建立</w:t>
      </w:r>
      <w:r>
        <w:rPr>
          <w:rFonts w:hint="eastAsia" w:cs="Times New Roman"/>
          <w:bCs/>
          <w:lang w:eastAsia="zh-CN"/>
        </w:rPr>
        <w:t>“</w:t>
      </w:r>
      <w:r>
        <w:rPr>
          <w:rFonts w:hint="eastAsia" w:cs="Times New Roman"/>
          <w:bCs/>
        </w:rPr>
        <w:t>政府强监管、市场化运作、企业化管理</w:t>
      </w:r>
      <w:r>
        <w:rPr>
          <w:rFonts w:hint="eastAsia" w:cs="Times New Roman"/>
          <w:bCs/>
          <w:lang w:eastAsia="zh-CN"/>
        </w:rPr>
        <w:t>”</w:t>
      </w:r>
      <w:r>
        <w:rPr>
          <w:rFonts w:hint="eastAsia" w:cs="Times New Roman"/>
          <w:bCs/>
        </w:rPr>
        <w:t>的生态环境资源运营和流转平台。探索开展县域生态系统生产总值（</w:t>
      </w:r>
      <w:r>
        <w:rPr>
          <w:rFonts w:cs="Times New Roman"/>
          <w:bCs/>
        </w:rPr>
        <w:t>GEP</w:t>
      </w:r>
      <w:r>
        <w:rPr>
          <w:rFonts w:hint="eastAsia" w:cs="Times New Roman"/>
          <w:bCs/>
        </w:rPr>
        <w:t>）核算，推进自然资源确权登记，清晰界定自然资源资产产权主体，划清所有权和使用权边界。建立生态产品目录清单，加快建立生态产品价值实现机制。拓宽生态产品价值实现模式，建立健全排污权、水权等资源环境要素确权登记和交易体系，完善市场化、多元化生态补偿机制。建立</w:t>
      </w:r>
      <w:r>
        <w:rPr>
          <w:rFonts w:cs="Times New Roman"/>
          <w:bCs/>
        </w:rPr>
        <w:t>GDP与GEP协同增长的评价考核体系，探索将考核结果应用于文水县财政转移支付、领导干部自然资源资产离任审计和责任追究等领域。</w:t>
      </w:r>
      <w:r>
        <w:rPr>
          <w:rFonts w:hint="eastAsia" w:eastAsia="楷体" w:cs="Times New Roman"/>
        </w:rPr>
        <w:t>（县发改局、县自然资源局、县林业局、县审计局）</w:t>
      </w:r>
    </w:p>
    <w:bookmarkEnd w:id="78"/>
    <w:p>
      <w:pPr>
        <w:pStyle w:val="4"/>
        <w:spacing w:line="240" w:lineRule="auto"/>
        <w:ind w:firstLine="640"/>
        <w:jc w:val="left"/>
        <w:rPr>
          <w:rFonts w:cs="Times New Roman"/>
        </w:rPr>
      </w:pPr>
      <w:bookmarkStart w:id="247" w:name="_Toc176974267"/>
      <w:bookmarkStart w:id="248" w:name="_Toc62831657"/>
      <w:bookmarkStart w:id="249" w:name="_Toc177067120"/>
      <w:bookmarkStart w:id="250" w:name="_Toc2590"/>
      <w:bookmarkStart w:id="251" w:name="_Toc18611"/>
      <w:bookmarkStart w:id="252" w:name="_Toc20263"/>
      <w:bookmarkStart w:id="253" w:name="_Toc14777"/>
      <w:r>
        <w:rPr>
          <w:rFonts w:hint="eastAsia" w:cs="Times New Roman"/>
          <w:lang w:val="en-US" w:eastAsia="zh-CN"/>
        </w:rPr>
        <w:t>九</w:t>
      </w:r>
      <w:r>
        <w:rPr>
          <w:rFonts w:cs="Times New Roman"/>
        </w:rPr>
        <w:t>、保障措施</w:t>
      </w:r>
      <w:bookmarkEnd w:id="247"/>
      <w:bookmarkEnd w:id="248"/>
      <w:bookmarkEnd w:id="249"/>
      <w:bookmarkEnd w:id="250"/>
      <w:bookmarkEnd w:id="251"/>
      <w:bookmarkEnd w:id="252"/>
      <w:bookmarkEnd w:id="253"/>
    </w:p>
    <w:p>
      <w:pPr>
        <w:pStyle w:val="5"/>
        <w:spacing w:before="156" w:after="156"/>
        <w:ind w:firstLine="643"/>
        <w:rPr>
          <w:rFonts w:cs="Times New Roman"/>
        </w:rPr>
      </w:pPr>
      <w:bookmarkStart w:id="254" w:name="_Toc176974268"/>
      <w:bookmarkStart w:id="255" w:name="_Toc25368"/>
      <w:bookmarkStart w:id="256" w:name="_Toc177067121"/>
      <w:bookmarkStart w:id="257" w:name="_Toc2936"/>
      <w:bookmarkStart w:id="258" w:name="_Toc24418"/>
      <w:r>
        <w:rPr>
          <w:rFonts w:cs="Times New Roman"/>
        </w:rPr>
        <w:t>（一）加强组织领导</w:t>
      </w:r>
      <w:bookmarkEnd w:id="254"/>
      <w:bookmarkEnd w:id="255"/>
      <w:bookmarkEnd w:id="256"/>
      <w:bookmarkEnd w:id="257"/>
      <w:bookmarkEnd w:id="258"/>
    </w:p>
    <w:p>
      <w:pPr>
        <w:widowControl/>
        <w:ind w:firstLine="640"/>
        <w:rPr>
          <w:rFonts w:cs="Times New Roman"/>
        </w:rPr>
      </w:pPr>
      <w:r>
        <w:rPr>
          <w:rFonts w:hint="eastAsia" w:cs="Times New Roman"/>
        </w:rPr>
        <w:t>县生态环境保护委员会组织推进美丽文水建设相关工作，由县委、县政府主要领导牵头协调，市生态环境局文水分局具体推进。各部门、各乡镇要积极将承担的美丽文水建设具体任务列入本单位重要议事日程，与本职工作共同部署、协同推进。各成员单位要各司其职、密切配合，形成上下联动、左右协同的工作格局。建立健全工作机制，定期向县人大及其常委会汇报生态文明建设相关工作，实行定期研究和会商制度，统筹协调、统一部署、科学决策，确保各项目标任务和重点工程按时保质完成。</w:t>
      </w:r>
    </w:p>
    <w:p>
      <w:pPr>
        <w:pStyle w:val="5"/>
        <w:spacing w:before="156" w:after="156"/>
        <w:ind w:firstLine="643"/>
        <w:rPr>
          <w:rFonts w:cs="Times New Roman"/>
        </w:rPr>
      </w:pPr>
      <w:bookmarkStart w:id="259" w:name="_Toc31574"/>
      <w:bookmarkStart w:id="260" w:name="_Toc177067122"/>
      <w:bookmarkStart w:id="261" w:name="_Toc24607"/>
      <w:bookmarkStart w:id="262" w:name="_Toc176974269"/>
      <w:bookmarkStart w:id="263" w:name="_Toc16091"/>
      <w:r>
        <w:rPr>
          <w:rFonts w:cs="Times New Roman"/>
        </w:rPr>
        <w:t>（二）强化资金保障</w:t>
      </w:r>
      <w:bookmarkEnd w:id="259"/>
      <w:bookmarkEnd w:id="260"/>
      <w:bookmarkEnd w:id="261"/>
      <w:bookmarkEnd w:id="262"/>
      <w:bookmarkEnd w:id="263"/>
    </w:p>
    <w:p>
      <w:pPr>
        <w:ind w:firstLine="640"/>
        <w:rPr>
          <w:rFonts w:cs="Times New Roman"/>
        </w:rPr>
      </w:pPr>
      <w:r>
        <w:rPr>
          <w:rFonts w:hint="eastAsia" w:cs="Times New Roman"/>
        </w:rPr>
        <w:t>把美丽文水建设作为公共财政支出的重点，强化美丽文水建设资金投入保障。落实生态环境领域市级与区县财权事权和支出责任划分改革方案，在财政规划和年度预算中充分考虑美丽文水建设重点项目、计划目标任务的投入需求，合理安排经费，发挥财政资金撬动作用。</w:t>
      </w:r>
      <w:r>
        <w:rPr>
          <w:rFonts w:hint="eastAsia" w:cs="Times New Roman"/>
          <w:szCs w:val="32"/>
          <w:lang w:bidi="ar"/>
        </w:rPr>
        <w:t>积极争取上级生态环境保护、农村环境整治资金等项目资金支持。</w:t>
      </w:r>
      <w:r>
        <w:rPr>
          <w:rFonts w:hint="eastAsia" w:cs="Times New Roman"/>
        </w:rPr>
        <w:t>建立多元化的投融资体系，支持金融机构加大绿色信贷投放，积极探索申报</w:t>
      </w:r>
      <w:r>
        <w:rPr>
          <w:rFonts w:cs="Times New Roman"/>
        </w:rPr>
        <w:t>EOD</w:t>
      </w:r>
      <w:r>
        <w:rPr>
          <w:rFonts w:hint="eastAsia" w:cs="Times New Roman"/>
        </w:rPr>
        <w:t>项目，引导社会和民间资本、金融信贷等参与美丽文水建设。</w:t>
      </w:r>
    </w:p>
    <w:p>
      <w:pPr>
        <w:pStyle w:val="5"/>
        <w:spacing w:before="156" w:after="156"/>
        <w:ind w:firstLine="640"/>
        <w:rPr>
          <w:rFonts w:cs="Times New Roman"/>
        </w:rPr>
      </w:pPr>
      <w:bookmarkStart w:id="264" w:name="_Toc16537"/>
      <w:bookmarkStart w:id="265" w:name="_Toc176974270"/>
      <w:bookmarkStart w:id="266" w:name="_Toc177067123"/>
      <w:bookmarkStart w:id="267" w:name="_Toc8668"/>
      <w:bookmarkStart w:id="268" w:name="_Toc27232"/>
      <w:r>
        <w:rPr>
          <w:rFonts w:cs="Times New Roman"/>
          <w:b/>
          <w:bCs/>
        </w:rPr>
        <w:t>（三）</w:t>
      </w:r>
      <w:bookmarkEnd w:id="264"/>
      <w:bookmarkEnd w:id="265"/>
      <w:bookmarkEnd w:id="266"/>
      <w:bookmarkStart w:id="269" w:name="_Toc177067124"/>
      <w:bookmarkStart w:id="270" w:name="_Toc2600"/>
      <w:bookmarkStart w:id="271" w:name="_Toc176974271"/>
      <w:r>
        <w:rPr>
          <w:rFonts w:cs="Times New Roman"/>
        </w:rPr>
        <w:t>夯实科技支撑</w:t>
      </w:r>
      <w:bookmarkEnd w:id="267"/>
      <w:bookmarkEnd w:id="268"/>
      <w:bookmarkEnd w:id="269"/>
      <w:bookmarkEnd w:id="270"/>
      <w:bookmarkEnd w:id="271"/>
    </w:p>
    <w:p>
      <w:pPr>
        <w:pStyle w:val="2"/>
        <w:spacing w:line="240" w:lineRule="auto"/>
        <w:ind w:firstLine="640"/>
        <w:rPr>
          <w:rFonts w:cs="Times New Roman"/>
        </w:rPr>
      </w:pPr>
      <w:r>
        <w:rPr>
          <w:rFonts w:cs="Times New Roman"/>
        </w:rPr>
        <w:t>聚焦突出问题，强化生态环保科技攻关和资源整合，依托北辛店村绿色智慧特色高效农业示范项目，建立科技小院，打造院士工作站。织密生态环境自动监测网，提升污染溯源能力，着力构建天地一体、上下协同、信息共享的高水平生态环境监管体系。鼓励、支持科技创新，引导社会资金参与科技成果开发和推广应用，提升黄河流域科技创新能力。广泛吸纳国内外专业人才，完善人才培养机制，建立生态环境专家库，为美丽文水建设提供有力的智力支持。</w:t>
      </w:r>
    </w:p>
    <w:p>
      <w:pPr>
        <w:pStyle w:val="5"/>
        <w:spacing w:before="156" w:after="156"/>
        <w:ind w:firstLine="643"/>
        <w:rPr>
          <w:rFonts w:cs="Times New Roman"/>
        </w:rPr>
      </w:pPr>
      <w:bookmarkStart w:id="272" w:name="_Toc177067125"/>
      <w:bookmarkStart w:id="273" w:name="_Toc176974272"/>
      <w:bookmarkStart w:id="274" w:name="_Toc22404"/>
      <w:bookmarkStart w:id="275" w:name="_Toc7887"/>
      <w:bookmarkStart w:id="276" w:name="_Toc22385"/>
      <w:r>
        <w:rPr>
          <w:rFonts w:cs="Times New Roman"/>
        </w:rPr>
        <w:t>（四）强化宣传教育</w:t>
      </w:r>
      <w:bookmarkEnd w:id="272"/>
      <w:bookmarkEnd w:id="273"/>
      <w:bookmarkEnd w:id="274"/>
      <w:bookmarkEnd w:id="275"/>
      <w:bookmarkEnd w:id="276"/>
      <w:bookmarkStart w:id="277" w:name="_Toc23844"/>
    </w:p>
    <w:p>
      <w:pPr>
        <w:ind w:firstLine="640"/>
        <w:rPr>
          <w:rFonts w:cs="Times New Roman"/>
        </w:rPr>
        <w:sectPr>
          <w:footerReference r:id="rId13" w:type="default"/>
          <w:pgSz w:w="11906" w:h="16838"/>
          <w:pgMar w:top="1440" w:right="1800" w:bottom="1440" w:left="1800" w:header="851" w:footer="992" w:gutter="0"/>
          <w:pgNumType w:fmt="decimal"/>
          <w:cols w:space="425" w:num="1"/>
          <w:docGrid w:type="lines" w:linePitch="312" w:charSpace="0"/>
        </w:sectPr>
      </w:pPr>
      <w:r>
        <w:rPr>
          <w:rFonts w:hint="eastAsia" w:cs="Times New Roman"/>
        </w:rPr>
        <w:t>有效整合广播电视、融媒体等宣传资源，创新宣传载体和手段，开展多渠道、多形式、多方位宣传报道，加大习近平生态文明思想宣传贯彻力度，及时公布美丽文水建设重要举措和阶段成效，扩大公众知情权、参与权和监督权，激励公众积极参与生态环境保护和建设，使美丽文水建设成为全县上下的共同责任和自觉行动，不断增强群众对美丽文水建设的参与感、获得感和幸福感。</w:t>
      </w:r>
      <w:bookmarkEnd w:id="277"/>
    </w:p>
    <w:p>
      <w:pPr>
        <w:ind w:firstLine="0" w:firstLineChars="0"/>
        <w:rPr>
          <w:rFonts w:cs="Times New Roman"/>
          <w:lang w:bidi="ar"/>
        </w:rPr>
      </w:pPr>
      <w:bookmarkStart w:id="278" w:name="_GoBack"/>
      <w:bookmarkEnd w:id="278"/>
    </w:p>
    <w:sectPr>
      <w:headerReference r:id="rId16" w:type="first"/>
      <w:footerReference r:id="rId18" w:type="first"/>
      <w:headerReference r:id="rId14" w:type="default"/>
      <w:headerReference r:id="rId15" w:type="even"/>
      <w:footerReference r:id="rId17" w:type="even"/>
      <w:pgSz w:w="16838" w:h="11906" w:orient="landscape"/>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DejaVu Sans"/>
    <w:panose1 w:val="020B0604020202020204"/>
    <w:charset w:val="86"/>
    <w:family w:val="swiss"/>
    <w:pitch w:val="default"/>
    <w:sig w:usb0="00000000" w:usb1="00000000" w:usb2="0000003F" w:usb3="00000000" w:csb0="003F01FF" w:csb1="00000000"/>
  </w:font>
  <w:font w:name="Wingdings-Regular">
    <w:altName w:val="Wingdings"/>
    <w:panose1 w:val="00000000000000000000"/>
    <w:charset w:val="00"/>
    <w:family w:val="roman"/>
    <w:pitch w:val="default"/>
    <w:sig w:usb0="00000000" w:usb1="00000000" w:usb2="00000000" w:usb3="00000000" w:csb0="00000000" w:csb1="00000000"/>
  </w:font>
  <w:font w:name="TimesNewRomanPSMT">
    <w:altName w:val="DejaVu San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1655298" name="文本框 2016552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firstLine="3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I7fMaYUAgAAFwQAAA4AAAAAAAAAAQAgAAAANQEAAGRycy9lMm9Eb2MueG1sUEsFBgAAAAAGAAYA&#10;WQEAALsFAAAAAA==&#10;">
              <v:fill on="f" focussize="0,0"/>
              <v:stroke on="f" weight="0.5pt"/>
              <v:imagedata o:title=""/>
              <o:lock v:ext="edit" aspectratio="f"/>
              <v:textbox inset="0mm,0mm,0mm,0mm" style="mso-fit-shape-to-text:t;">
                <w:txbxContent>
                  <w:p>
                    <w:pPr>
                      <w:pStyle w:val="19"/>
                      <w:ind w:firstLine="3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ZTJlYzcyZDA2MTkyMDYyNWM3NGYxNWZiYjYwNTUifQ=="/>
  </w:docVars>
  <w:rsids>
    <w:rsidRoot w:val="00FE6CCF"/>
    <w:rsid w:val="00002721"/>
    <w:rsid w:val="0000701C"/>
    <w:rsid w:val="00007BF5"/>
    <w:rsid w:val="00012CD2"/>
    <w:rsid w:val="000149FE"/>
    <w:rsid w:val="000173E7"/>
    <w:rsid w:val="00020899"/>
    <w:rsid w:val="000212F9"/>
    <w:rsid w:val="00023360"/>
    <w:rsid w:val="00024E5F"/>
    <w:rsid w:val="00026551"/>
    <w:rsid w:val="00026900"/>
    <w:rsid w:val="000327CB"/>
    <w:rsid w:val="00034B24"/>
    <w:rsid w:val="00035683"/>
    <w:rsid w:val="0003618F"/>
    <w:rsid w:val="00041450"/>
    <w:rsid w:val="000420A6"/>
    <w:rsid w:val="00053029"/>
    <w:rsid w:val="0005407D"/>
    <w:rsid w:val="00055428"/>
    <w:rsid w:val="00056D04"/>
    <w:rsid w:val="00060AD5"/>
    <w:rsid w:val="0006110A"/>
    <w:rsid w:val="00061FC6"/>
    <w:rsid w:val="000622D2"/>
    <w:rsid w:val="00064ACD"/>
    <w:rsid w:val="000731F3"/>
    <w:rsid w:val="00076997"/>
    <w:rsid w:val="0009569B"/>
    <w:rsid w:val="000A2EEF"/>
    <w:rsid w:val="000A76A0"/>
    <w:rsid w:val="000B37DF"/>
    <w:rsid w:val="000B3DC6"/>
    <w:rsid w:val="000B48AA"/>
    <w:rsid w:val="000B6A1C"/>
    <w:rsid w:val="000B7993"/>
    <w:rsid w:val="000C0FA5"/>
    <w:rsid w:val="000C3A4B"/>
    <w:rsid w:val="000C50D6"/>
    <w:rsid w:val="000C5D3B"/>
    <w:rsid w:val="000C7930"/>
    <w:rsid w:val="000D355D"/>
    <w:rsid w:val="000E1DE9"/>
    <w:rsid w:val="000E5E03"/>
    <w:rsid w:val="000F1046"/>
    <w:rsid w:val="000F3421"/>
    <w:rsid w:val="000F610F"/>
    <w:rsid w:val="000F6947"/>
    <w:rsid w:val="00101B85"/>
    <w:rsid w:val="00103DA3"/>
    <w:rsid w:val="0011038D"/>
    <w:rsid w:val="00112B1E"/>
    <w:rsid w:val="001259C9"/>
    <w:rsid w:val="00126481"/>
    <w:rsid w:val="00126749"/>
    <w:rsid w:val="001334B6"/>
    <w:rsid w:val="00133605"/>
    <w:rsid w:val="0013405D"/>
    <w:rsid w:val="0013619F"/>
    <w:rsid w:val="00141219"/>
    <w:rsid w:val="001421DA"/>
    <w:rsid w:val="00145082"/>
    <w:rsid w:val="00147367"/>
    <w:rsid w:val="001477C6"/>
    <w:rsid w:val="00150529"/>
    <w:rsid w:val="00152D6B"/>
    <w:rsid w:val="001533FA"/>
    <w:rsid w:val="00153B75"/>
    <w:rsid w:val="001575F7"/>
    <w:rsid w:val="00160889"/>
    <w:rsid w:val="00160FEB"/>
    <w:rsid w:val="001624B9"/>
    <w:rsid w:val="00162BC6"/>
    <w:rsid w:val="00164AB6"/>
    <w:rsid w:val="001702C5"/>
    <w:rsid w:val="001710CC"/>
    <w:rsid w:val="00171C51"/>
    <w:rsid w:val="00175AEA"/>
    <w:rsid w:val="001768E5"/>
    <w:rsid w:val="00177A6E"/>
    <w:rsid w:val="00180274"/>
    <w:rsid w:val="00183021"/>
    <w:rsid w:val="00183650"/>
    <w:rsid w:val="00184506"/>
    <w:rsid w:val="00186482"/>
    <w:rsid w:val="0019550E"/>
    <w:rsid w:val="0019768D"/>
    <w:rsid w:val="001A1BF3"/>
    <w:rsid w:val="001A6AA0"/>
    <w:rsid w:val="001B2FB4"/>
    <w:rsid w:val="001B4288"/>
    <w:rsid w:val="001B4953"/>
    <w:rsid w:val="001B72D1"/>
    <w:rsid w:val="001B77DD"/>
    <w:rsid w:val="001C0A50"/>
    <w:rsid w:val="001C28FA"/>
    <w:rsid w:val="001D266B"/>
    <w:rsid w:val="001D2889"/>
    <w:rsid w:val="001D2F91"/>
    <w:rsid w:val="001D6912"/>
    <w:rsid w:val="001D7776"/>
    <w:rsid w:val="001D7C13"/>
    <w:rsid w:val="001D7D7C"/>
    <w:rsid w:val="001E0199"/>
    <w:rsid w:val="001E0DB5"/>
    <w:rsid w:val="001E116E"/>
    <w:rsid w:val="001E2EA4"/>
    <w:rsid w:val="001F1512"/>
    <w:rsid w:val="002063C3"/>
    <w:rsid w:val="00206633"/>
    <w:rsid w:val="002067B9"/>
    <w:rsid w:val="00210B55"/>
    <w:rsid w:val="00213E6F"/>
    <w:rsid w:val="00221CBE"/>
    <w:rsid w:val="0022210E"/>
    <w:rsid w:val="0022383A"/>
    <w:rsid w:val="002251D4"/>
    <w:rsid w:val="002253F2"/>
    <w:rsid w:val="00233ED4"/>
    <w:rsid w:val="00235554"/>
    <w:rsid w:val="00240935"/>
    <w:rsid w:val="00241A3A"/>
    <w:rsid w:val="00246C4E"/>
    <w:rsid w:val="0025113E"/>
    <w:rsid w:val="002561B9"/>
    <w:rsid w:val="0026321A"/>
    <w:rsid w:val="002650BB"/>
    <w:rsid w:val="0027001E"/>
    <w:rsid w:val="002759FD"/>
    <w:rsid w:val="00276AC6"/>
    <w:rsid w:val="00277F66"/>
    <w:rsid w:val="0028009B"/>
    <w:rsid w:val="0028780F"/>
    <w:rsid w:val="00287F6D"/>
    <w:rsid w:val="002970A1"/>
    <w:rsid w:val="002A0C98"/>
    <w:rsid w:val="002A6A85"/>
    <w:rsid w:val="002A6DF5"/>
    <w:rsid w:val="002B31F2"/>
    <w:rsid w:val="002B524D"/>
    <w:rsid w:val="002C0FB7"/>
    <w:rsid w:val="002C277C"/>
    <w:rsid w:val="002C3257"/>
    <w:rsid w:val="002D1724"/>
    <w:rsid w:val="002D54B2"/>
    <w:rsid w:val="002D6DA3"/>
    <w:rsid w:val="002D7506"/>
    <w:rsid w:val="002D76CA"/>
    <w:rsid w:val="002E0426"/>
    <w:rsid w:val="002E1992"/>
    <w:rsid w:val="002E4BEC"/>
    <w:rsid w:val="002E4ECF"/>
    <w:rsid w:val="002E5318"/>
    <w:rsid w:val="002E54FE"/>
    <w:rsid w:val="002E60C3"/>
    <w:rsid w:val="002E6E05"/>
    <w:rsid w:val="002F1FBF"/>
    <w:rsid w:val="002F2F08"/>
    <w:rsid w:val="002F3812"/>
    <w:rsid w:val="002F43A8"/>
    <w:rsid w:val="002F5949"/>
    <w:rsid w:val="002F60EF"/>
    <w:rsid w:val="0031027C"/>
    <w:rsid w:val="003115F7"/>
    <w:rsid w:val="00312DE7"/>
    <w:rsid w:val="00314EB8"/>
    <w:rsid w:val="003156E8"/>
    <w:rsid w:val="0031752B"/>
    <w:rsid w:val="0032099D"/>
    <w:rsid w:val="003213C5"/>
    <w:rsid w:val="003256AD"/>
    <w:rsid w:val="00325A13"/>
    <w:rsid w:val="00326768"/>
    <w:rsid w:val="003271AE"/>
    <w:rsid w:val="00332308"/>
    <w:rsid w:val="0033394E"/>
    <w:rsid w:val="003358AA"/>
    <w:rsid w:val="0034264E"/>
    <w:rsid w:val="00346D47"/>
    <w:rsid w:val="00350D56"/>
    <w:rsid w:val="003530CA"/>
    <w:rsid w:val="00354B46"/>
    <w:rsid w:val="00354EB9"/>
    <w:rsid w:val="00355EEE"/>
    <w:rsid w:val="003617B9"/>
    <w:rsid w:val="00362414"/>
    <w:rsid w:val="00366F54"/>
    <w:rsid w:val="00376313"/>
    <w:rsid w:val="00376C26"/>
    <w:rsid w:val="00377E95"/>
    <w:rsid w:val="00381A1B"/>
    <w:rsid w:val="003828C3"/>
    <w:rsid w:val="00384CA6"/>
    <w:rsid w:val="00385942"/>
    <w:rsid w:val="003860E4"/>
    <w:rsid w:val="00386E0F"/>
    <w:rsid w:val="00387271"/>
    <w:rsid w:val="00392FB7"/>
    <w:rsid w:val="003950F6"/>
    <w:rsid w:val="0039581B"/>
    <w:rsid w:val="003A33F4"/>
    <w:rsid w:val="003A4006"/>
    <w:rsid w:val="003A5827"/>
    <w:rsid w:val="003A7804"/>
    <w:rsid w:val="003B2743"/>
    <w:rsid w:val="003B2E43"/>
    <w:rsid w:val="003B6968"/>
    <w:rsid w:val="003C0540"/>
    <w:rsid w:val="003C7BDE"/>
    <w:rsid w:val="003D1804"/>
    <w:rsid w:val="003D1821"/>
    <w:rsid w:val="003D6388"/>
    <w:rsid w:val="003D6B5F"/>
    <w:rsid w:val="003E049F"/>
    <w:rsid w:val="003E3FAC"/>
    <w:rsid w:val="003E5252"/>
    <w:rsid w:val="003E7A71"/>
    <w:rsid w:val="003F2A85"/>
    <w:rsid w:val="003F377B"/>
    <w:rsid w:val="003F6E74"/>
    <w:rsid w:val="004029AD"/>
    <w:rsid w:val="00402B2B"/>
    <w:rsid w:val="00413383"/>
    <w:rsid w:val="00413705"/>
    <w:rsid w:val="0041588B"/>
    <w:rsid w:val="004173DA"/>
    <w:rsid w:val="00421D82"/>
    <w:rsid w:val="00424126"/>
    <w:rsid w:val="0042520E"/>
    <w:rsid w:val="00427739"/>
    <w:rsid w:val="00432605"/>
    <w:rsid w:val="00436618"/>
    <w:rsid w:val="00437AF8"/>
    <w:rsid w:val="00443D4A"/>
    <w:rsid w:val="00446CFB"/>
    <w:rsid w:val="004472AE"/>
    <w:rsid w:val="00447C1D"/>
    <w:rsid w:val="00451965"/>
    <w:rsid w:val="0045262E"/>
    <w:rsid w:val="00457A42"/>
    <w:rsid w:val="0046188D"/>
    <w:rsid w:val="0046191F"/>
    <w:rsid w:val="00470756"/>
    <w:rsid w:val="004716B2"/>
    <w:rsid w:val="00473B3B"/>
    <w:rsid w:val="00474185"/>
    <w:rsid w:val="00474D98"/>
    <w:rsid w:val="00474DB2"/>
    <w:rsid w:val="0047551A"/>
    <w:rsid w:val="00477C8B"/>
    <w:rsid w:val="00480C19"/>
    <w:rsid w:val="00481448"/>
    <w:rsid w:val="0048665F"/>
    <w:rsid w:val="00490A2E"/>
    <w:rsid w:val="00493F83"/>
    <w:rsid w:val="00497A72"/>
    <w:rsid w:val="004A0DC0"/>
    <w:rsid w:val="004A3688"/>
    <w:rsid w:val="004A4D8E"/>
    <w:rsid w:val="004A7AAB"/>
    <w:rsid w:val="004B078F"/>
    <w:rsid w:val="004B10E8"/>
    <w:rsid w:val="004B2B59"/>
    <w:rsid w:val="004B2DF9"/>
    <w:rsid w:val="004C2629"/>
    <w:rsid w:val="004C4059"/>
    <w:rsid w:val="004C5F04"/>
    <w:rsid w:val="004D4852"/>
    <w:rsid w:val="004D7702"/>
    <w:rsid w:val="004D7845"/>
    <w:rsid w:val="004E2604"/>
    <w:rsid w:val="004E3644"/>
    <w:rsid w:val="004E526A"/>
    <w:rsid w:val="004E7261"/>
    <w:rsid w:val="004F0842"/>
    <w:rsid w:val="004F4895"/>
    <w:rsid w:val="004F5506"/>
    <w:rsid w:val="004F56E5"/>
    <w:rsid w:val="004F5B57"/>
    <w:rsid w:val="004F6D32"/>
    <w:rsid w:val="004F7C72"/>
    <w:rsid w:val="004F7FA6"/>
    <w:rsid w:val="005015CA"/>
    <w:rsid w:val="00503688"/>
    <w:rsid w:val="005058AB"/>
    <w:rsid w:val="00510E83"/>
    <w:rsid w:val="00511258"/>
    <w:rsid w:val="00511695"/>
    <w:rsid w:val="00511B7E"/>
    <w:rsid w:val="00513CB0"/>
    <w:rsid w:val="00514C34"/>
    <w:rsid w:val="00517075"/>
    <w:rsid w:val="005202E3"/>
    <w:rsid w:val="00525CCB"/>
    <w:rsid w:val="00532ECE"/>
    <w:rsid w:val="00533324"/>
    <w:rsid w:val="00534B44"/>
    <w:rsid w:val="00537701"/>
    <w:rsid w:val="00550D45"/>
    <w:rsid w:val="00551CE4"/>
    <w:rsid w:val="005549E1"/>
    <w:rsid w:val="00562489"/>
    <w:rsid w:val="00564587"/>
    <w:rsid w:val="005647AA"/>
    <w:rsid w:val="0057148B"/>
    <w:rsid w:val="0057194F"/>
    <w:rsid w:val="0058146B"/>
    <w:rsid w:val="00585897"/>
    <w:rsid w:val="00585C79"/>
    <w:rsid w:val="00590C76"/>
    <w:rsid w:val="00590F00"/>
    <w:rsid w:val="005917D6"/>
    <w:rsid w:val="005922BB"/>
    <w:rsid w:val="00592964"/>
    <w:rsid w:val="005974BA"/>
    <w:rsid w:val="005A0482"/>
    <w:rsid w:val="005A0968"/>
    <w:rsid w:val="005A25D8"/>
    <w:rsid w:val="005A3545"/>
    <w:rsid w:val="005A60B4"/>
    <w:rsid w:val="005A7B94"/>
    <w:rsid w:val="005B2318"/>
    <w:rsid w:val="005B31CC"/>
    <w:rsid w:val="005C01E8"/>
    <w:rsid w:val="005D0BC0"/>
    <w:rsid w:val="005D16AE"/>
    <w:rsid w:val="005E236C"/>
    <w:rsid w:val="005E3E36"/>
    <w:rsid w:val="005F134B"/>
    <w:rsid w:val="005F628A"/>
    <w:rsid w:val="00600EB8"/>
    <w:rsid w:val="0060360C"/>
    <w:rsid w:val="0060590B"/>
    <w:rsid w:val="006117A6"/>
    <w:rsid w:val="006136F5"/>
    <w:rsid w:val="00616BA3"/>
    <w:rsid w:val="00620AE6"/>
    <w:rsid w:val="00624039"/>
    <w:rsid w:val="006333B9"/>
    <w:rsid w:val="0064692B"/>
    <w:rsid w:val="00651717"/>
    <w:rsid w:val="006524ED"/>
    <w:rsid w:val="00662172"/>
    <w:rsid w:val="00674094"/>
    <w:rsid w:val="0067623F"/>
    <w:rsid w:val="00680566"/>
    <w:rsid w:val="00683297"/>
    <w:rsid w:val="00686409"/>
    <w:rsid w:val="00686525"/>
    <w:rsid w:val="006A0A75"/>
    <w:rsid w:val="006A0BA2"/>
    <w:rsid w:val="006A17B6"/>
    <w:rsid w:val="006A3533"/>
    <w:rsid w:val="006A7410"/>
    <w:rsid w:val="006B483D"/>
    <w:rsid w:val="006B4C10"/>
    <w:rsid w:val="006C0140"/>
    <w:rsid w:val="006C237E"/>
    <w:rsid w:val="006C35CA"/>
    <w:rsid w:val="006C5C63"/>
    <w:rsid w:val="006C6540"/>
    <w:rsid w:val="006D1C9E"/>
    <w:rsid w:val="006D42BE"/>
    <w:rsid w:val="006D7201"/>
    <w:rsid w:val="006E4F79"/>
    <w:rsid w:val="006E7781"/>
    <w:rsid w:val="006F1461"/>
    <w:rsid w:val="006F15D8"/>
    <w:rsid w:val="006F443B"/>
    <w:rsid w:val="007034C1"/>
    <w:rsid w:val="00703BB1"/>
    <w:rsid w:val="00704D64"/>
    <w:rsid w:val="00707B97"/>
    <w:rsid w:val="0071096F"/>
    <w:rsid w:val="0071285D"/>
    <w:rsid w:val="007159EF"/>
    <w:rsid w:val="00716F3F"/>
    <w:rsid w:val="007208BF"/>
    <w:rsid w:val="007277EF"/>
    <w:rsid w:val="0073689A"/>
    <w:rsid w:val="00743948"/>
    <w:rsid w:val="00743DEC"/>
    <w:rsid w:val="0074427C"/>
    <w:rsid w:val="0074452C"/>
    <w:rsid w:val="00744E77"/>
    <w:rsid w:val="00750D75"/>
    <w:rsid w:val="00754880"/>
    <w:rsid w:val="00755770"/>
    <w:rsid w:val="007573B7"/>
    <w:rsid w:val="00762D86"/>
    <w:rsid w:val="0076566E"/>
    <w:rsid w:val="007657CE"/>
    <w:rsid w:val="007675DD"/>
    <w:rsid w:val="0077016F"/>
    <w:rsid w:val="00770CBE"/>
    <w:rsid w:val="007732F2"/>
    <w:rsid w:val="00773E45"/>
    <w:rsid w:val="00774B67"/>
    <w:rsid w:val="00777CEE"/>
    <w:rsid w:val="00781452"/>
    <w:rsid w:val="00791F68"/>
    <w:rsid w:val="00793DA5"/>
    <w:rsid w:val="007972E9"/>
    <w:rsid w:val="007A31C0"/>
    <w:rsid w:val="007B1422"/>
    <w:rsid w:val="007B541C"/>
    <w:rsid w:val="007B64A4"/>
    <w:rsid w:val="007C0D1B"/>
    <w:rsid w:val="007C2047"/>
    <w:rsid w:val="007C2BA1"/>
    <w:rsid w:val="007C416A"/>
    <w:rsid w:val="007D070E"/>
    <w:rsid w:val="007E1058"/>
    <w:rsid w:val="007E2153"/>
    <w:rsid w:val="007E26CC"/>
    <w:rsid w:val="007E3C7C"/>
    <w:rsid w:val="007E6826"/>
    <w:rsid w:val="007E6CD7"/>
    <w:rsid w:val="007F23D3"/>
    <w:rsid w:val="008009F6"/>
    <w:rsid w:val="00802F91"/>
    <w:rsid w:val="0080544F"/>
    <w:rsid w:val="00805E4A"/>
    <w:rsid w:val="00806B8A"/>
    <w:rsid w:val="00807424"/>
    <w:rsid w:val="008102AB"/>
    <w:rsid w:val="008106A9"/>
    <w:rsid w:val="008123D2"/>
    <w:rsid w:val="008170B7"/>
    <w:rsid w:val="0082258B"/>
    <w:rsid w:val="0082293D"/>
    <w:rsid w:val="00824E0C"/>
    <w:rsid w:val="00826F1E"/>
    <w:rsid w:val="0083537F"/>
    <w:rsid w:val="008354A5"/>
    <w:rsid w:val="0084040C"/>
    <w:rsid w:val="00842870"/>
    <w:rsid w:val="00855183"/>
    <w:rsid w:val="008556F2"/>
    <w:rsid w:val="00855E29"/>
    <w:rsid w:val="00861A45"/>
    <w:rsid w:val="00865C00"/>
    <w:rsid w:val="008730B3"/>
    <w:rsid w:val="008848AF"/>
    <w:rsid w:val="00884FF2"/>
    <w:rsid w:val="008862CE"/>
    <w:rsid w:val="008865E9"/>
    <w:rsid w:val="00891B2A"/>
    <w:rsid w:val="0089368A"/>
    <w:rsid w:val="00894889"/>
    <w:rsid w:val="008A23DF"/>
    <w:rsid w:val="008A2A2B"/>
    <w:rsid w:val="008A49D1"/>
    <w:rsid w:val="008A5289"/>
    <w:rsid w:val="008A6DE1"/>
    <w:rsid w:val="008B17F4"/>
    <w:rsid w:val="008B277B"/>
    <w:rsid w:val="008B2ACD"/>
    <w:rsid w:val="008B3026"/>
    <w:rsid w:val="008B4B1B"/>
    <w:rsid w:val="008C5784"/>
    <w:rsid w:val="008D461C"/>
    <w:rsid w:val="008D4B85"/>
    <w:rsid w:val="008D7FB7"/>
    <w:rsid w:val="008E5B84"/>
    <w:rsid w:val="008E722F"/>
    <w:rsid w:val="008F7C66"/>
    <w:rsid w:val="00900A60"/>
    <w:rsid w:val="0091273D"/>
    <w:rsid w:val="00916AF6"/>
    <w:rsid w:val="00916D88"/>
    <w:rsid w:val="00917E17"/>
    <w:rsid w:val="0092088B"/>
    <w:rsid w:val="009236C0"/>
    <w:rsid w:val="00924631"/>
    <w:rsid w:val="00926E86"/>
    <w:rsid w:val="00933975"/>
    <w:rsid w:val="00934D39"/>
    <w:rsid w:val="00934EE7"/>
    <w:rsid w:val="00936A97"/>
    <w:rsid w:val="00936E82"/>
    <w:rsid w:val="00942C1A"/>
    <w:rsid w:val="009478CB"/>
    <w:rsid w:val="00950A50"/>
    <w:rsid w:val="00951B91"/>
    <w:rsid w:val="0095301C"/>
    <w:rsid w:val="00955B19"/>
    <w:rsid w:val="00964338"/>
    <w:rsid w:val="00964ACF"/>
    <w:rsid w:val="00971A2A"/>
    <w:rsid w:val="00974D09"/>
    <w:rsid w:val="00977ACD"/>
    <w:rsid w:val="009828A9"/>
    <w:rsid w:val="00984DFD"/>
    <w:rsid w:val="00990D37"/>
    <w:rsid w:val="009923AA"/>
    <w:rsid w:val="009A0B44"/>
    <w:rsid w:val="009C1312"/>
    <w:rsid w:val="009C69AF"/>
    <w:rsid w:val="009E1461"/>
    <w:rsid w:val="009E3083"/>
    <w:rsid w:val="009E329F"/>
    <w:rsid w:val="009E37ED"/>
    <w:rsid w:val="009E3A6D"/>
    <w:rsid w:val="009F1C9D"/>
    <w:rsid w:val="009F22EA"/>
    <w:rsid w:val="009F26CF"/>
    <w:rsid w:val="009F2850"/>
    <w:rsid w:val="009F2BE2"/>
    <w:rsid w:val="00A0488D"/>
    <w:rsid w:val="00A067BF"/>
    <w:rsid w:val="00A21E18"/>
    <w:rsid w:val="00A242C9"/>
    <w:rsid w:val="00A276B6"/>
    <w:rsid w:val="00A340FE"/>
    <w:rsid w:val="00A34365"/>
    <w:rsid w:val="00A34D89"/>
    <w:rsid w:val="00A3500B"/>
    <w:rsid w:val="00A351F5"/>
    <w:rsid w:val="00A37805"/>
    <w:rsid w:val="00A41762"/>
    <w:rsid w:val="00A4272A"/>
    <w:rsid w:val="00A439C5"/>
    <w:rsid w:val="00A46749"/>
    <w:rsid w:val="00A477F7"/>
    <w:rsid w:val="00A52D32"/>
    <w:rsid w:val="00A53CAA"/>
    <w:rsid w:val="00A54B22"/>
    <w:rsid w:val="00A6100A"/>
    <w:rsid w:val="00A67270"/>
    <w:rsid w:val="00A6765A"/>
    <w:rsid w:val="00A74D1A"/>
    <w:rsid w:val="00A74EC5"/>
    <w:rsid w:val="00A83357"/>
    <w:rsid w:val="00A90786"/>
    <w:rsid w:val="00A91ED6"/>
    <w:rsid w:val="00AA0A65"/>
    <w:rsid w:val="00AA1697"/>
    <w:rsid w:val="00AA5D78"/>
    <w:rsid w:val="00AB041A"/>
    <w:rsid w:val="00AB1810"/>
    <w:rsid w:val="00AB2AA9"/>
    <w:rsid w:val="00AB2E09"/>
    <w:rsid w:val="00AC4483"/>
    <w:rsid w:val="00AC490A"/>
    <w:rsid w:val="00AC670E"/>
    <w:rsid w:val="00AC6DEC"/>
    <w:rsid w:val="00AD039B"/>
    <w:rsid w:val="00AD7980"/>
    <w:rsid w:val="00AE3297"/>
    <w:rsid w:val="00AE40F6"/>
    <w:rsid w:val="00AE4467"/>
    <w:rsid w:val="00AE7F64"/>
    <w:rsid w:val="00AF03D6"/>
    <w:rsid w:val="00AF0741"/>
    <w:rsid w:val="00AF5B6F"/>
    <w:rsid w:val="00AF60ED"/>
    <w:rsid w:val="00AF67A2"/>
    <w:rsid w:val="00B01BE8"/>
    <w:rsid w:val="00B048DA"/>
    <w:rsid w:val="00B04979"/>
    <w:rsid w:val="00B11F2B"/>
    <w:rsid w:val="00B128DF"/>
    <w:rsid w:val="00B34A1F"/>
    <w:rsid w:val="00B41CCB"/>
    <w:rsid w:val="00B42ABA"/>
    <w:rsid w:val="00B45152"/>
    <w:rsid w:val="00B53EFF"/>
    <w:rsid w:val="00B54E34"/>
    <w:rsid w:val="00B55428"/>
    <w:rsid w:val="00B5774E"/>
    <w:rsid w:val="00B624B4"/>
    <w:rsid w:val="00B64743"/>
    <w:rsid w:val="00B65271"/>
    <w:rsid w:val="00B67C30"/>
    <w:rsid w:val="00B67DC1"/>
    <w:rsid w:val="00B70C40"/>
    <w:rsid w:val="00B70F56"/>
    <w:rsid w:val="00B77925"/>
    <w:rsid w:val="00B77B00"/>
    <w:rsid w:val="00B802DB"/>
    <w:rsid w:val="00B8096E"/>
    <w:rsid w:val="00B879E6"/>
    <w:rsid w:val="00B904BC"/>
    <w:rsid w:val="00B9110A"/>
    <w:rsid w:val="00B9284C"/>
    <w:rsid w:val="00B95A2A"/>
    <w:rsid w:val="00B963B9"/>
    <w:rsid w:val="00BA1A2D"/>
    <w:rsid w:val="00BA798C"/>
    <w:rsid w:val="00BB1CC4"/>
    <w:rsid w:val="00BB77EB"/>
    <w:rsid w:val="00BC0632"/>
    <w:rsid w:val="00BC0D9A"/>
    <w:rsid w:val="00BC14F2"/>
    <w:rsid w:val="00BC4A07"/>
    <w:rsid w:val="00BC6800"/>
    <w:rsid w:val="00BC7DAE"/>
    <w:rsid w:val="00BD525E"/>
    <w:rsid w:val="00BD5593"/>
    <w:rsid w:val="00BF185B"/>
    <w:rsid w:val="00BF7029"/>
    <w:rsid w:val="00C10AA7"/>
    <w:rsid w:val="00C12C31"/>
    <w:rsid w:val="00C1537F"/>
    <w:rsid w:val="00C2272D"/>
    <w:rsid w:val="00C2699C"/>
    <w:rsid w:val="00C27F87"/>
    <w:rsid w:val="00C302E4"/>
    <w:rsid w:val="00C30953"/>
    <w:rsid w:val="00C35663"/>
    <w:rsid w:val="00C35A8C"/>
    <w:rsid w:val="00C36ECF"/>
    <w:rsid w:val="00C40A82"/>
    <w:rsid w:val="00C44ECB"/>
    <w:rsid w:val="00C454C9"/>
    <w:rsid w:val="00C458CD"/>
    <w:rsid w:val="00C52BE8"/>
    <w:rsid w:val="00C549E7"/>
    <w:rsid w:val="00C56A46"/>
    <w:rsid w:val="00C56BB1"/>
    <w:rsid w:val="00C62092"/>
    <w:rsid w:val="00C6608D"/>
    <w:rsid w:val="00C67D06"/>
    <w:rsid w:val="00C71ED0"/>
    <w:rsid w:val="00C74A96"/>
    <w:rsid w:val="00C7562F"/>
    <w:rsid w:val="00C77AED"/>
    <w:rsid w:val="00C8011E"/>
    <w:rsid w:val="00C9021B"/>
    <w:rsid w:val="00C93B4C"/>
    <w:rsid w:val="00CA2433"/>
    <w:rsid w:val="00CB3733"/>
    <w:rsid w:val="00CC3BFC"/>
    <w:rsid w:val="00CC452C"/>
    <w:rsid w:val="00CC4538"/>
    <w:rsid w:val="00CD0A46"/>
    <w:rsid w:val="00CE3143"/>
    <w:rsid w:val="00CE4236"/>
    <w:rsid w:val="00CE7B54"/>
    <w:rsid w:val="00CF278E"/>
    <w:rsid w:val="00D11C0C"/>
    <w:rsid w:val="00D12DE7"/>
    <w:rsid w:val="00D134B2"/>
    <w:rsid w:val="00D2568B"/>
    <w:rsid w:val="00D352A6"/>
    <w:rsid w:val="00D36CCB"/>
    <w:rsid w:val="00D43856"/>
    <w:rsid w:val="00D463E4"/>
    <w:rsid w:val="00D478B7"/>
    <w:rsid w:val="00D51DC1"/>
    <w:rsid w:val="00D541F1"/>
    <w:rsid w:val="00D551EA"/>
    <w:rsid w:val="00D56EB9"/>
    <w:rsid w:val="00D572FE"/>
    <w:rsid w:val="00D57388"/>
    <w:rsid w:val="00D579F1"/>
    <w:rsid w:val="00D603DE"/>
    <w:rsid w:val="00D61AB1"/>
    <w:rsid w:val="00D62A10"/>
    <w:rsid w:val="00D62E4D"/>
    <w:rsid w:val="00D651CA"/>
    <w:rsid w:val="00D75838"/>
    <w:rsid w:val="00D769AE"/>
    <w:rsid w:val="00D82C32"/>
    <w:rsid w:val="00D830DF"/>
    <w:rsid w:val="00D844A6"/>
    <w:rsid w:val="00D85D4C"/>
    <w:rsid w:val="00D970F9"/>
    <w:rsid w:val="00DA01F0"/>
    <w:rsid w:val="00DA09E9"/>
    <w:rsid w:val="00DA16C2"/>
    <w:rsid w:val="00DA1FFB"/>
    <w:rsid w:val="00DA2335"/>
    <w:rsid w:val="00DA4CE4"/>
    <w:rsid w:val="00DA7840"/>
    <w:rsid w:val="00DB0AAE"/>
    <w:rsid w:val="00DB267F"/>
    <w:rsid w:val="00DB349B"/>
    <w:rsid w:val="00DB665F"/>
    <w:rsid w:val="00DC0759"/>
    <w:rsid w:val="00DC3399"/>
    <w:rsid w:val="00DC46B4"/>
    <w:rsid w:val="00DD15F2"/>
    <w:rsid w:val="00DD1C4F"/>
    <w:rsid w:val="00DD3C89"/>
    <w:rsid w:val="00DD6D9D"/>
    <w:rsid w:val="00DE0BF3"/>
    <w:rsid w:val="00DE25F0"/>
    <w:rsid w:val="00DE29BB"/>
    <w:rsid w:val="00DE595F"/>
    <w:rsid w:val="00DF1CBA"/>
    <w:rsid w:val="00DF322D"/>
    <w:rsid w:val="00DF7A92"/>
    <w:rsid w:val="00E04FA7"/>
    <w:rsid w:val="00E064EC"/>
    <w:rsid w:val="00E07A65"/>
    <w:rsid w:val="00E1282B"/>
    <w:rsid w:val="00E12DAA"/>
    <w:rsid w:val="00E14B81"/>
    <w:rsid w:val="00E179BA"/>
    <w:rsid w:val="00E17E9E"/>
    <w:rsid w:val="00E2106C"/>
    <w:rsid w:val="00E32C4D"/>
    <w:rsid w:val="00E3347B"/>
    <w:rsid w:val="00E347FE"/>
    <w:rsid w:val="00E35042"/>
    <w:rsid w:val="00E36A09"/>
    <w:rsid w:val="00E3701A"/>
    <w:rsid w:val="00E37936"/>
    <w:rsid w:val="00E45A78"/>
    <w:rsid w:val="00E4623F"/>
    <w:rsid w:val="00E47D30"/>
    <w:rsid w:val="00E47DF1"/>
    <w:rsid w:val="00E512EC"/>
    <w:rsid w:val="00E548E0"/>
    <w:rsid w:val="00E62A51"/>
    <w:rsid w:val="00E646DE"/>
    <w:rsid w:val="00E64A86"/>
    <w:rsid w:val="00E67457"/>
    <w:rsid w:val="00E7135B"/>
    <w:rsid w:val="00E714BA"/>
    <w:rsid w:val="00E77165"/>
    <w:rsid w:val="00E82A1C"/>
    <w:rsid w:val="00E82D74"/>
    <w:rsid w:val="00E918F3"/>
    <w:rsid w:val="00E94A54"/>
    <w:rsid w:val="00EA04E9"/>
    <w:rsid w:val="00EA7C41"/>
    <w:rsid w:val="00EB00B0"/>
    <w:rsid w:val="00EB2590"/>
    <w:rsid w:val="00EC492B"/>
    <w:rsid w:val="00ED0A42"/>
    <w:rsid w:val="00ED211C"/>
    <w:rsid w:val="00EE0F7E"/>
    <w:rsid w:val="00EE3363"/>
    <w:rsid w:val="00EE4E63"/>
    <w:rsid w:val="00EE73F6"/>
    <w:rsid w:val="00F00A30"/>
    <w:rsid w:val="00F01E7A"/>
    <w:rsid w:val="00F05651"/>
    <w:rsid w:val="00F06BBF"/>
    <w:rsid w:val="00F1472C"/>
    <w:rsid w:val="00F321A9"/>
    <w:rsid w:val="00F3432E"/>
    <w:rsid w:val="00F3643F"/>
    <w:rsid w:val="00F4182C"/>
    <w:rsid w:val="00F60CA6"/>
    <w:rsid w:val="00F623CB"/>
    <w:rsid w:val="00F6430B"/>
    <w:rsid w:val="00F67E83"/>
    <w:rsid w:val="00F70269"/>
    <w:rsid w:val="00F7102F"/>
    <w:rsid w:val="00F7619E"/>
    <w:rsid w:val="00F77A35"/>
    <w:rsid w:val="00F81D7A"/>
    <w:rsid w:val="00F830E1"/>
    <w:rsid w:val="00F84694"/>
    <w:rsid w:val="00F85157"/>
    <w:rsid w:val="00F86C37"/>
    <w:rsid w:val="00F902D3"/>
    <w:rsid w:val="00F91EBA"/>
    <w:rsid w:val="00F92DD6"/>
    <w:rsid w:val="00F93F0D"/>
    <w:rsid w:val="00F97A21"/>
    <w:rsid w:val="00F97B2F"/>
    <w:rsid w:val="00FA1422"/>
    <w:rsid w:val="00FA756C"/>
    <w:rsid w:val="00FB0C6D"/>
    <w:rsid w:val="00FB5DF6"/>
    <w:rsid w:val="00FC2702"/>
    <w:rsid w:val="00FC4346"/>
    <w:rsid w:val="00FD37EE"/>
    <w:rsid w:val="00FD4599"/>
    <w:rsid w:val="00FD45B7"/>
    <w:rsid w:val="00FE36D9"/>
    <w:rsid w:val="00FE6C7E"/>
    <w:rsid w:val="00FE6CCF"/>
    <w:rsid w:val="00FF205D"/>
    <w:rsid w:val="00FF3B96"/>
    <w:rsid w:val="00FF40D2"/>
    <w:rsid w:val="00FF5A8A"/>
    <w:rsid w:val="00FF6B3E"/>
    <w:rsid w:val="00FF6EAE"/>
    <w:rsid w:val="02274799"/>
    <w:rsid w:val="031F2043"/>
    <w:rsid w:val="03536D5F"/>
    <w:rsid w:val="042042C5"/>
    <w:rsid w:val="04842AA6"/>
    <w:rsid w:val="048C221F"/>
    <w:rsid w:val="04E06880"/>
    <w:rsid w:val="04FC088E"/>
    <w:rsid w:val="05DD246D"/>
    <w:rsid w:val="05E41A4E"/>
    <w:rsid w:val="060B2AD3"/>
    <w:rsid w:val="065546FA"/>
    <w:rsid w:val="06712446"/>
    <w:rsid w:val="069D4A8A"/>
    <w:rsid w:val="06DA075B"/>
    <w:rsid w:val="074309F6"/>
    <w:rsid w:val="07465DF0"/>
    <w:rsid w:val="07DC7C75"/>
    <w:rsid w:val="07DD0A14"/>
    <w:rsid w:val="07F1489C"/>
    <w:rsid w:val="08167EB9"/>
    <w:rsid w:val="08697585"/>
    <w:rsid w:val="087D1CE6"/>
    <w:rsid w:val="08A234FA"/>
    <w:rsid w:val="08C16076"/>
    <w:rsid w:val="08C2594B"/>
    <w:rsid w:val="09681FA2"/>
    <w:rsid w:val="096B1B3E"/>
    <w:rsid w:val="0A285C81"/>
    <w:rsid w:val="0A374CDF"/>
    <w:rsid w:val="0AA134E8"/>
    <w:rsid w:val="0B350656"/>
    <w:rsid w:val="0B4E5BBB"/>
    <w:rsid w:val="0B770C6E"/>
    <w:rsid w:val="0B84338B"/>
    <w:rsid w:val="0BCD6AE0"/>
    <w:rsid w:val="0C112E71"/>
    <w:rsid w:val="0C620BB1"/>
    <w:rsid w:val="0CC46135"/>
    <w:rsid w:val="0CD33B4E"/>
    <w:rsid w:val="0D9A00F5"/>
    <w:rsid w:val="0DFE11D3"/>
    <w:rsid w:val="0EC00B7E"/>
    <w:rsid w:val="0EC817E1"/>
    <w:rsid w:val="0EDC5C82"/>
    <w:rsid w:val="0EE26D46"/>
    <w:rsid w:val="0EE91E83"/>
    <w:rsid w:val="103F75F4"/>
    <w:rsid w:val="104239C5"/>
    <w:rsid w:val="10967DE9"/>
    <w:rsid w:val="10F46224"/>
    <w:rsid w:val="112F3D99"/>
    <w:rsid w:val="11EB7CC0"/>
    <w:rsid w:val="120945EA"/>
    <w:rsid w:val="12260E88"/>
    <w:rsid w:val="124320EA"/>
    <w:rsid w:val="1270302A"/>
    <w:rsid w:val="12F9465F"/>
    <w:rsid w:val="13DD7ADC"/>
    <w:rsid w:val="13FA41EA"/>
    <w:rsid w:val="14A5684C"/>
    <w:rsid w:val="14F23501"/>
    <w:rsid w:val="15D54F0F"/>
    <w:rsid w:val="1666025D"/>
    <w:rsid w:val="17237EFC"/>
    <w:rsid w:val="1767603B"/>
    <w:rsid w:val="18090EA0"/>
    <w:rsid w:val="18694035"/>
    <w:rsid w:val="18CD45C3"/>
    <w:rsid w:val="19061883"/>
    <w:rsid w:val="19232435"/>
    <w:rsid w:val="198C0CF9"/>
    <w:rsid w:val="1A4E2E48"/>
    <w:rsid w:val="1A9C195D"/>
    <w:rsid w:val="1ACA221F"/>
    <w:rsid w:val="1B134BC3"/>
    <w:rsid w:val="1B440441"/>
    <w:rsid w:val="1B6B6913"/>
    <w:rsid w:val="1B713770"/>
    <w:rsid w:val="1C262893"/>
    <w:rsid w:val="1C4C57FF"/>
    <w:rsid w:val="1CA473E9"/>
    <w:rsid w:val="1D4A3C86"/>
    <w:rsid w:val="1DDF5CEF"/>
    <w:rsid w:val="1E3131AA"/>
    <w:rsid w:val="1E506E2B"/>
    <w:rsid w:val="1E605D36"/>
    <w:rsid w:val="1E7B14A7"/>
    <w:rsid w:val="1F134CFA"/>
    <w:rsid w:val="1FCD6C57"/>
    <w:rsid w:val="20254CE5"/>
    <w:rsid w:val="204D6D7C"/>
    <w:rsid w:val="20A31079"/>
    <w:rsid w:val="211508B6"/>
    <w:rsid w:val="211624E5"/>
    <w:rsid w:val="212A371B"/>
    <w:rsid w:val="216B500D"/>
    <w:rsid w:val="21DE15EF"/>
    <w:rsid w:val="220B4A98"/>
    <w:rsid w:val="2286164A"/>
    <w:rsid w:val="22E04EF3"/>
    <w:rsid w:val="22F93020"/>
    <w:rsid w:val="23335E3B"/>
    <w:rsid w:val="235651FB"/>
    <w:rsid w:val="2383244E"/>
    <w:rsid w:val="23D82BBA"/>
    <w:rsid w:val="23FB4EFE"/>
    <w:rsid w:val="24150BCD"/>
    <w:rsid w:val="2432177F"/>
    <w:rsid w:val="24AF2DCF"/>
    <w:rsid w:val="24F1576F"/>
    <w:rsid w:val="2536730E"/>
    <w:rsid w:val="25C96152"/>
    <w:rsid w:val="2675096B"/>
    <w:rsid w:val="269077C0"/>
    <w:rsid w:val="26C53D00"/>
    <w:rsid w:val="272747E4"/>
    <w:rsid w:val="2729330D"/>
    <w:rsid w:val="27AC1848"/>
    <w:rsid w:val="27C856A9"/>
    <w:rsid w:val="29226266"/>
    <w:rsid w:val="294247C7"/>
    <w:rsid w:val="29A924E3"/>
    <w:rsid w:val="2A6401B8"/>
    <w:rsid w:val="2A9A62D0"/>
    <w:rsid w:val="2B0A5203"/>
    <w:rsid w:val="2B1716CE"/>
    <w:rsid w:val="2B536BAA"/>
    <w:rsid w:val="2B6366C1"/>
    <w:rsid w:val="2BB50056"/>
    <w:rsid w:val="2BBF5FEE"/>
    <w:rsid w:val="2C3F4944"/>
    <w:rsid w:val="2C646B95"/>
    <w:rsid w:val="2C9D104A"/>
    <w:rsid w:val="2CA156F3"/>
    <w:rsid w:val="2D0F3A4B"/>
    <w:rsid w:val="2D293BCE"/>
    <w:rsid w:val="2D360531"/>
    <w:rsid w:val="2D9708A4"/>
    <w:rsid w:val="2DBA2F11"/>
    <w:rsid w:val="2DC951E5"/>
    <w:rsid w:val="2E110657"/>
    <w:rsid w:val="2E4B1DBB"/>
    <w:rsid w:val="2E4C4AC3"/>
    <w:rsid w:val="2EFD1AE4"/>
    <w:rsid w:val="2FE7399B"/>
    <w:rsid w:val="2FEF2C1A"/>
    <w:rsid w:val="308E41E1"/>
    <w:rsid w:val="309D4424"/>
    <w:rsid w:val="315E5CA1"/>
    <w:rsid w:val="31C45AE7"/>
    <w:rsid w:val="321B5F48"/>
    <w:rsid w:val="32933D30"/>
    <w:rsid w:val="32BD49FE"/>
    <w:rsid w:val="32D43EF5"/>
    <w:rsid w:val="32FA3CDE"/>
    <w:rsid w:val="33380ED3"/>
    <w:rsid w:val="339A10EE"/>
    <w:rsid w:val="340053F5"/>
    <w:rsid w:val="35773495"/>
    <w:rsid w:val="35DD672B"/>
    <w:rsid w:val="35EC6BC6"/>
    <w:rsid w:val="36351E5C"/>
    <w:rsid w:val="36BC2564"/>
    <w:rsid w:val="36EE59D9"/>
    <w:rsid w:val="37201BD6"/>
    <w:rsid w:val="37270EEB"/>
    <w:rsid w:val="38312021"/>
    <w:rsid w:val="38CC58A6"/>
    <w:rsid w:val="38EC203D"/>
    <w:rsid w:val="3955716F"/>
    <w:rsid w:val="39D17173"/>
    <w:rsid w:val="3A1514CF"/>
    <w:rsid w:val="3A20174C"/>
    <w:rsid w:val="3A500759"/>
    <w:rsid w:val="3A85150A"/>
    <w:rsid w:val="3AFB6916"/>
    <w:rsid w:val="3B082371"/>
    <w:rsid w:val="3B411D9A"/>
    <w:rsid w:val="3B4B5536"/>
    <w:rsid w:val="3B7F12F6"/>
    <w:rsid w:val="3BC27434"/>
    <w:rsid w:val="3C5055E1"/>
    <w:rsid w:val="3C7A4115"/>
    <w:rsid w:val="3C8B3CCA"/>
    <w:rsid w:val="3CE33B06"/>
    <w:rsid w:val="3D0E6439"/>
    <w:rsid w:val="3D17730C"/>
    <w:rsid w:val="3DBC170B"/>
    <w:rsid w:val="3E295549"/>
    <w:rsid w:val="3E4D56DB"/>
    <w:rsid w:val="3FB83028"/>
    <w:rsid w:val="419453CF"/>
    <w:rsid w:val="41F14552"/>
    <w:rsid w:val="423170C2"/>
    <w:rsid w:val="42CF7159"/>
    <w:rsid w:val="434123BC"/>
    <w:rsid w:val="43444ABB"/>
    <w:rsid w:val="43B81849"/>
    <w:rsid w:val="44742ECE"/>
    <w:rsid w:val="45582834"/>
    <w:rsid w:val="45A329D1"/>
    <w:rsid w:val="46256F3D"/>
    <w:rsid w:val="46EC46B8"/>
    <w:rsid w:val="476060E7"/>
    <w:rsid w:val="476615BC"/>
    <w:rsid w:val="48005223"/>
    <w:rsid w:val="48AF4BC9"/>
    <w:rsid w:val="48B11034"/>
    <w:rsid w:val="48C73013"/>
    <w:rsid w:val="492372F8"/>
    <w:rsid w:val="493A4AAE"/>
    <w:rsid w:val="496B388B"/>
    <w:rsid w:val="49A64BF2"/>
    <w:rsid w:val="4A123038"/>
    <w:rsid w:val="4A317C5F"/>
    <w:rsid w:val="4A69564B"/>
    <w:rsid w:val="4A946440"/>
    <w:rsid w:val="4AAE4B40"/>
    <w:rsid w:val="4B321EE0"/>
    <w:rsid w:val="4B46598C"/>
    <w:rsid w:val="4B50680B"/>
    <w:rsid w:val="4B917CC8"/>
    <w:rsid w:val="4BCF3BD3"/>
    <w:rsid w:val="4C0748A1"/>
    <w:rsid w:val="4C5145E8"/>
    <w:rsid w:val="4CB813F0"/>
    <w:rsid w:val="4D001B6A"/>
    <w:rsid w:val="4EAB5FD9"/>
    <w:rsid w:val="4EBB3651"/>
    <w:rsid w:val="4ED35788"/>
    <w:rsid w:val="4F6E3703"/>
    <w:rsid w:val="4FDD0C1A"/>
    <w:rsid w:val="4FE65048"/>
    <w:rsid w:val="50610B72"/>
    <w:rsid w:val="506A5C79"/>
    <w:rsid w:val="50823067"/>
    <w:rsid w:val="50B42E0E"/>
    <w:rsid w:val="50F6575E"/>
    <w:rsid w:val="50F92A0B"/>
    <w:rsid w:val="5116195C"/>
    <w:rsid w:val="517D7A72"/>
    <w:rsid w:val="51AF0849"/>
    <w:rsid w:val="51C67E65"/>
    <w:rsid w:val="52AB126E"/>
    <w:rsid w:val="53603363"/>
    <w:rsid w:val="53BD1BF0"/>
    <w:rsid w:val="53EB5322"/>
    <w:rsid w:val="54111AB6"/>
    <w:rsid w:val="54245607"/>
    <w:rsid w:val="5482661A"/>
    <w:rsid w:val="55567512"/>
    <w:rsid w:val="55823A64"/>
    <w:rsid w:val="56323B99"/>
    <w:rsid w:val="56336B0D"/>
    <w:rsid w:val="564B654C"/>
    <w:rsid w:val="56B063AF"/>
    <w:rsid w:val="572044B5"/>
    <w:rsid w:val="57633422"/>
    <w:rsid w:val="57DA713C"/>
    <w:rsid w:val="58366D88"/>
    <w:rsid w:val="583A23D4"/>
    <w:rsid w:val="58733B38"/>
    <w:rsid w:val="58A40196"/>
    <w:rsid w:val="590E1245"/>
    <w:rsid w:val="591A2206"/>
    <w:rsid w:val="59462FFB"/>
    <w:rsid w:val="595B6559"/>
    <w:rsid w:val="598163FE"/>
    <w:rsid w:val="59DB3743"/>
    <w:rsid w:val="5A653F4A"/>
    <w:rsid w:val="5A871B1D"/>
    <w:rsid w:val="5AF30F60"/>
    <w:rsid w:val="5B3E6066"/>
    <w:rsid w:val="5B90055D"/>
    <w:rsid w:val="5B9339CA"/>
    <w:rsid w:val="5C195A25"/>
    <w:rsid w:val="5C42721C"/>
    <w:rsid w:val="5C8C341B"/>
    <w:rsid w:val="5D284EF1"/>
    <w:rsid w:val="5D7243BE"/>
    <w:rsid w:val="5DD34835"/>
    <w:rsid w:val="5F076D88"/>
    <w:rsid w:val="5F5D2E4C"/>
    <w:rsid w:val="5F7408C2"/>
    <w:rsid w:val="5FA10F8B"/>
    <w:rsid w:val="60453263"/>
    <w:rsid w:val="614B3D33"/>
    <w:rsid w:val="615A3AE7"/>
    <w:rsid w:val="61CB24D9"/>
    <w:rsid w:val="6220263B"/>
    <w:rsid w:val="627B2186"/>
    <w:rsid w:val="627B3D15"/>
    <w:rsid w:val="62BD60DC"/>
    <w:rsid w:val="637D6D9C"/>
    <w:rsid w:val="63BA46A9"/>
    <w:rsid w:val="648F3998"/>
    <w:rsid w:val="65921AA2"/>
    <w:rsid w:val="65E21726"/>
    <w:rsid w:val="66B71094"/>
    <w:rsid w:val="6739419F"/>
    <w:rsid w:val="679C68E0"/>
    <w:rsid w:val="688B0A2A"/>
    <w:rsid w:val="6A0E546F"/>
    <w:rsid w:val="6A615EE7"/>
    <w:rsid w:val="6A794FDE"/>
    <w:rsid w:val="6A8B4D12"/>
    <w:rsid w:val="6AE52674"/>
    <w:rsid w:val="6B1678F8"/>
    <w:rsid w:val="6B1747F7"/>
    <w:rsid w:val="6C1338EE"/>
    <w:rsid w:val="6C506213"/>
    <w:rsid w:val="6CF856A2"/>
    <w:rsid w:val="6D5A5D4D"/>
    <w:rsid w:val="6DB15759"/>
    <w:rsid w:val="6DBD7566"/>
    <w:rsid w:val="6DE05374"/>
    <w:rsid w:val="6E826702"/>
    <w:rsid w:val="6EAB5982"/>
    <w:rsid w:val="6ECE341F"/>
    <w:rsid w:val="6EFE3D04"/>
    <w:rsid w:val="6F1078D9"/>
    <w:rsid w:val="6F2000CF"/>
    <w:rsid w:val="6F7973A1"/>
    <w:rsid w:val="6F917503"/>
    <w:rsid w:val="6FE10C6E"/>
    <w:rsid w:val="6FF670D1"/>
    <w:rsid w:val="703674CE"/>
    <w:rsid w:val="70672C7E"/>
    <w:rsid w:val="718970A7"/>
    <w:rsid w:val="718A5D23"/>
    <w:rsid w:val="71A861A9"/>
    <w:rsid w:val="71C54FAD"/>
    <w:rsid w:val="720C498A"/>
    <w:rsid w:val="7210336D"/>
    <w:rsid w:val="72316D1B"/>
    <w:rsid w:val="72D66607"/>
    <w:rsid w:val="73BD54A9"/>
    <w:rsid w:val="743A1AAD"/>
    <w:rsid w:val="743D707D"/>
    <w:rsid w:val="748A428C"/>
    <w:rsid w:val="748C0004"/>
    <w:rsid w:val="749C7B61"/>
    <w:rsid w:val="74E27C24"/>
    <w:rsid w:val="7510653F"/>
    <w:rsid w:val="75600D4C"/>
    <w:rsid w:val="75A24AD6"/>
    <w:rsid w:val="75DA6B4D"/>
    <w:rsid w:val="763015A8"/>
    <w:rsid w:val="763B32AD"/>
    <w:rsid w:val="766823AB"/>
    <w:rsid w:val="768C7E47"/>
    <w:rsid w:val="76B402F2"/>
    <w:rsid w:val="76FF27A4"/>
    <w:rsid w:val="780B2B6D"/>
    <w:rsid w:val="78270165"/>
    <w:rsid w:val="79D261CD"/>
    <w:rsid w:val="7A655052"/>
    <w:rsid w:val="7AA06118"/>
    <w:rsid w:val="7B5A6766"/>
    <w:rsid w:val="7B742879"/>
    <w:rsid w:val="7B845591"/>
    <w:rsid w:val="7B8C2B06"/>
    <w:rsid w:val="7C155955"/>
    <w:rsid w:val="7C347618"/>
    <w:rsid w:val="7DDF2F52"/>
    <w:rsid w:val="7DFA4230"/>
    <w:rsid w:val="7E5D3F6F"/>
    <w:rsid w:val="7EF57669"/>
    <w:rsid w:val="7EFA7D03"/>
    <w:rsid w:val="7F4E65E2"/>
    <w:rsid w:val="7FD8234F"/>
    <w:rsid w:val="F0FF3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99" w:semiHidden="0" w:name="caption"/>
    <w:lsdException w:qFormat="1" w:uiPriority="99"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960" w:firstLineChars="200"/>
      <w:jc w:val="both"/>
    </w:pPr>
    <w:rPr>
      <w:rFonts w:ascii="Times New Roman" w:hAnsi="Times New Roman" w:eastAsia="仿宋_GB2312" w:cstheme="minorBidi"/>
      <w:kern w:val="2"/>
      <w:sz w:val="32"/>
      <w:szCs w:val="24"/>
      <w:lang w:val="en-US" w:eastAsia="zh-CN" w:bidi="ar-SA"/>
    </w:rPr>
  </w:style>
  <w:style w:type="paragraph" w:styleId="4">
    <w:name w:val="heading 1"/>
    <w:basedOn w:val="1"/>
    <w:next w:val="1"/>
    <w:link w:val="53"/>
    <w:qFormat/>
    <w:uiPriority w:val="9"/>
    <w:pPr>
      <w:keepNext/>
      <w:keepLines/>
      <w:jc w:val="center"/>
      <w:outlineLvl w:val="0"/>
    </w:pPr>
    <w:rPr>
      <w:rFonts w:eastAsia="黑体"/>
      <w:kern w:val="44"/>
    </w:rPr>
  </w:style>
  <w:style w:type="paragraph" w:styleId="5">
    <w:name w:val="heading 2"/>
    <w:basedOn w:val="1"/>
    <w:next w:val="1"/>
    <w:link w:val="67"/>
    <w:unhideWhenUsed/>
    <w:qFormat/>
    <w:uiPriority w:val="9"/>
    <w:pPr>
      <w:keepNext/>
      <w:keepLines/>
      <w:spacing w:before="50" w:beforeLines="50" w:after="50" w:afterLines="50"/>
      <w:outlineLvl w:val="1"/>
    </w:pPr>
    <w:rPr>
      <w:rFonts w:eastAsia="楷体_GB2312"/>
      <w:b/>
      <w:szCs w:val="30"/>
    </w:rPr>
  </w:style>
  <w:style w:type="paragraph" w:styleId="6">
    <w:name w:val="heading 3"/>
    <w:basedOn w:val="1"/>
    <w:next w:val="1"/>
    <w:link w:val="56"/>
    <w:unhideWhenUsed/>
    <w:qFormat/>
    <w:uiPriority w:val="9"/>
    <w:pPr>
      <w:keepNext/>
      <w:keepLines/>
      <w:widowControl/>
      <w:spacing w:before="260" w:after="260" w:line="416" w:lineRule="auto"/>
      <w:jc w:val="center"/>
      <w:outlineLvl w:val="2"/>
    </w:pPr>
    <w:rPr>
      <w:b/>
      <w:bCs/>
      <w:szCs w:val="32"/>
    </w:rPr>
  </w:style>
  <w:style w:type="paragraph" w:styleId="7">
    <w:name w:val="heading 4"/>
    <w:basedOn w:val="1"/>
    <w:next w:val="1"/>
    <w:link w:val="63"/>
    <w:unhideWhenUsed/>
    <w:qFormat/>
    <w:uiPriority w:val="9"/>
    <w:pPr>
      <w:keepNext/>
      <w:keepLines/>
      <w:widowControl/>
      <w:spacing w:before="280" w:after="290" w:line="376" w:lineRule="auto"/>
      <w:ind w:firstLine="560"/>
      <w:outlineLvl w:val="3"/>
    </w:pPr>
    <w:rPr>
      <w:rFonts w:asciiTheme="majorHAnsi" w:hAnsiTheme="majorHAnsi" w:eastAsiaTheme="majorEastAsia" w:cstheme="majorBidi"/>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1"/>
    <w:qFormat/>
    <w:uiPriority w:val="99"/>
    <w:pPr>
      <w:spacing w:after="120"/>
    </w:pPr>
  </w:style>
  <w:style w:type="paragraph" w:styleId="3">
    <w:name w:val="Body Text First Indent"/>
    <w:basedOn w:val="2"/>
    <w:next w:val="2"/>
    <w:qFormat/>
    <w:uiPriority w:val="99"/>
    <w:pPr>
      <w:ind w:firstLine="720"/>
    </w:pPr>
  </w:style>
  <w:style w:type="paragraph" w:styleId="8">
    <w:name w:val="toc 7"/>
    <w:basedOn w:val="1"/>
    <w:next w:val="1"/>
    <w:unhideWhenUsed/>
    <w:qFormat/>
    <w:uiPriority w:val="39"/>
    <w:pPr>
      <w:widowControl/>
      <w:spacing w:line="240" w:lineRule="auto"/>
      <w:ind w:left="2520" w:leftChars="1200" w:firstLine="0" w:firstLineChars="0"/>
    </w:pPr>
    <w:rPr>
      <w:rFonts w:asciiTheme="minorHAnsi" w:hAnsiTheme="minorHAnsi" w:eastAsiaTheme="minorEastAsia"/>
      <w:sz w:val="21"/>
      <w:szCs w:val="22"/>
    </w:rPr>
  </w:style>
  <w:style w:type="paragraph" w:styleId="9">
    <w:name w:val="caption"/>
    <w:basedOn w:val="1"/>
    <w:next w:val="1"/>
    <w:link w:val="57"/>
    <w:unhideWhenUsed/>
    <w:qFormat/>
    <w:uiPriority w:val="99"/>
    <w:pPr>
      <w:widowControl/>
      <w:jc w:val="center"/>
    </w:pPr>
    <w:rPr>
      <w:rFonts w:eastAsia="黑体" w:asciiTheme="majorHAnsi" w:hAnsiTheme="majorHAnsi" w:cstheme="majorBidi"/>
      <w:sz w:val="20"/>
      <w:szCs w:val="20"/>
    </w:rPr>
  </w:style>
  <w:style w:type="paragraph" w:styleId="10">
    <w:name w:val="annotation text"/>
    <w:basedOn w:val="1"/>
    <w:link w:val="47"/>
    <w:qFormat/>
    <w:uiPriority w:val="99"/>
    <w:pPr>
      <w:jc w:val="left"/>
    </w:pPr>
  </w:style>
  <w:style w:type="paragraph" w:styleId="11">
    <w:name w:val="Body Text Indent"/>
    <w:basedOn w:val="1"/>
    <w:next w:val="12"/>
    <w:link w:val="49"/>
    <w:qFormat/>
    <w:uiPriority w:val="0"/>
    <w:pPr>
      <w:widowControl/>
      <w:spacing w:after="120"/>
      <w:ind w:left="420" w:leftChars="200"/>
      <w:jc w:val="left"/>
    </w:pPr>
    <w:rPr>
      <w:rFonts w:ascii="Calibri" w:hAnsi="Calibri" w:eastAsia="宋体" w:cs="Times New Roman"/>
      <w:kern w:val="0"/>
      <w:sz w:val="24"/>
    </w:rPr>
  </w:style>
  <w:style w:type="paragraph" w:styleId="12">
    <w:name w:val="Body Text First Indent 2"/>
    <w:basedOn w:val="11"/>
    <w:link w:val="50"/>
    <w:qFormat/>
    <w:uiPriority w:val="0"/>
    <w:pPr>
      <w:widowControl w:val="0"/>
      <w:ind w:firstLine="420"/>
      <w:jc w:val="both"/>
    </w:pPr>
    <w:rPr>
      <w:rFonts w:asciiTheme="minorHAnsi" w:hAnsiTheme="minorHAnsi" w:eastAsiaTheme="minorEastAsia" w:cstheme="minorBidi"/>
      <w:kern w:val="2"/>
      <w:sz w:val="21"/>
    </w:rPr>
  </w:style>
  <w:style w:type="paragraph" w:styleId="13">
    <w:name w:val="toc 5"/>
    <w:basedOn w:val="1"/>
    <w:next w:val="1"/>
    <w:unhideWhenUsed/>
    <w:qFormat/>
    <w:uiPriority w:val="39"/>
    <w:pPr>
      <w:widowControl/>
      <w:spacing w:line="240" w:lineRule="auto"/>
      <w:ind w:left="1680" w:leftChars="800" w:firstLine="0" w:firstLineChars="0"/>
    </w:pPr>
    <w:rPr>
      <w:rFonts w:asciiTheme="minorHAnsi" w:hAnsiTheme="minorHAnsi" w:eastAsiaTheme="minorEastAsia"/>
      <w:sz w:val="21"/>
      <w:szCs w:val="22"/>
    </w:rPr>
  </w:style>
  <w:style w:type="paragraph" w:styleId="14">
    <w:name w:val="toc 3"/>
    <w:basedOn w:val="1"/>
    <w:next w:val="1"/>
    <w:qFormat/>
    <w:uiPriority w:val="39"/>
    <w:pPr>
      <w:ind w:left="840" w:leftChars="400"/>
    </w:pPr>
  </w:style>
  <w:style w:type="paragraph" w:styleId="15">
    <w:name w:val="toc 8"/>
    <w:basedOn w:val="1"/>
    <w:next w:val="1"/>
    <w:unhideWhenUsed/>
    <w:qFormat/>
    <w:uiPriority w:val="39"/>
    <w:pPr>
      <w:widowControl/>
      <w:spacing w:line="240" w:lineRule="auto"/>
      <w:ind w:left="2940" w:leftChars="1400" w:firstLine="0" w:firstLineChars="0"/>
    </w:pPr>
    <w:rPr>
      <w:rFonts w:asciiTheme="minorHAnsi" w:hAnsiTheme="minorHAnsi" w:eastAsiaTheme="minorEastAsia"/>
      <w:sz w:val="21"/>
      <w:szCs w:val="22"/>
    </w:rPr>
  </w:style>
  <w:style w:type="paragraph" w:styleId="16">
    <w:name w:val="Date"/>
    <w:basedOn w:val="1"/>
    <w:next w:val="1"/>
    <w:link w:val="64"/>
    <w:unhideWhenUsed/>
    <w:qFormat/>
    <w:uiPriority w:val="99"/>
    <w:pPr>
      <w:widowControl/>
      <w:ind w:left="100" w:leftChars="2500" w:firstLine="560"/>
    </w:pPr>
    <w:rPr>
      <w:sz w:val="24"/>
      <w:szCs w:val="22"/>
    </w:rPr>
  </w:style>
  <w:style w:type="paragraph" w:styleId="17">
    <w:name w:val="Body Text Indent 2"/>
    <w:basedOn w:val="1"/>
    <w:link w:val="65"/>
    <w:unhideWhenUsed/>
    <w:qFormat/>
    <w:uiPriority w:val="0"/>
    <w:pPr>
      <w:widowControl/>
      <w:spacing w:after="120" w:line="480" w:lineRule="auto"/>
      <w:ind w:left="420" w:leftChars="200" w:firstLine="560"/>
    </w:pPr>
    <w:rPr>
      <w:sz w:val="24"/>
      <w:szCs w:val="22"/>
    </w:rPr>
  </w:style>
  <w:style w:type="paragraph" w:styleId="18">
    <w:name w:val="Balloon Text"/>
    <w:basedOn w:val="1"/>
    <w:link w:val="43"/>
    <w:qFormat/>
    <w:uiPriority w:val="99"/>
    <w:rPr>
      <w:sz w:val="18"/>
      <w:szCs w:val="18"/>
    </w:rPr>
  </w:style>
  <w:style w:type="paragraph" w:styleId="19">
    <w:name w:val="footer"/>
    <w:basedOn w:val="1"/>
    <w:link w:val="60"/>
    <w:qFormat/>
    <w:uiPriority w:val="99"/>
    <w:pPr>
      <w:tabs>
        <w:tab w:val="center" w:pos="4153"/>
        <w:tab w:val="right" w:pos="8306"/>
      </w:tabs>
      <w:snapToGrid w:val="0"/>
      <w:jc w:val="left"/>
    </w:pPr>
    <w:rPr>
      <w:sz w:val="18"/>
      <w:szCs w:val="18"/>
    </w:rPr>
  </w:style>
  <w:style w:type="paragraph" w:styleId="20">
    <w:name w:val="header"/>
    <w:basedOn w:val="1"/>
    <w:link w:val="5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pPr>
      <w:tabs>
        <w:tab w:val="right" w:leader="dot" w:pos="8296"/>
      </w:tabs>
      <w:ind w:firstLine="0" w:firstLineChars="0"/>
    </w:pPr>
    <w:rPr>
      <w:rFonts w:eastAsia="黑体"/>
    </w:rPr>
  </w:style>
  <w:style w:type="paragraph" w:styleId="22">
    <w:name w:val="toc 4"/>
    <w:basedOn w:val="1"/>
    <w:next w:val="1"/>
    <w:unhideWhenUsed/>
    <w:qFormat/>
    <w:uiPriority w:val="39"/>
    <w:pPr>
      <w:widowControl/>
      <w:spacing w:line="240" w:lineRule="auto"/>
      <w:ind w:left="1260" w:leftChars="600" w:firstLine="0" w:firstLineChars="0"/>
    </w:pPr>
    <w:rPr>
      <w:rFonts w:asciiTheme="minorHAnsi" w:hAnsiTheme="minorHAnsi" w:eastAsiaTheme="minorEastAsia"/>
      <w:sz w:val="21"/>
      <w:szCs w:val="22"/>
    </w:rPr>
  </w:style>
  <w:style w:type="paragraph" w:styleId="23">
    <w:name w:val="footnote text"/>
    <w:basedOn w:val="1"/>
    <w:link w:val="42"/>
    <w:qFormat/>
    <w:uiPriority w:val="99"/>
    <w:pPr>
      <w:snapToGrid w:val="0"/>
      <w:jc w:val="left"/>
    </w:pPr>
    <w:rPr>
      <w:sz w:val="18"/>
    </w:rPr>
  </w:style>
  <w:style w:type="paragraph" w:styleId="24">
    <w:name w:val="toc 6"/>
    <w:basedOn w:val="1"/>
    <w:next w:val="1"/>
    <w:unhideWhenUsed/>
    <w:qFormat/>
    <w:uiPriority w:val="39"/>
    <w:pPr>
      <w:widowControl/>
      <w:spacing w:line="240" w:lineRule="auto"/>
      <w:ind w:left="2100" w:leftChars="1000" w:firstLine="0" w:firstLineChars="0"/>
    </w:pPr>
    <w:rPr>
      <w:rFonts w:asciiTheme="minorHAnsi" w:hAnsiTheme="minorHAnsi" w:eastAsiaTheme="minorEastAsia"/>
      <w:sz w:val="21"/>
      <w:szCs w:val="22"/>
    </w:rPr>
  </w:style>
  <w:style w:type="paragraph" w:styleId="25">
    <w:name w:val="table of figures"/>
    <w:basedOn w:val="1"/>
    <w:next w:val="1"/>
    <w:unhideWhenUsed/>
    <w:qFormat/>
    <w:uiPriority w:val="99"/>
    <w:pPr>
      <w:widowControl/>
      <w:ind w:left="200" w:leftChars="200" w:hanging="200" w:hangingChars="200"/>
    </w:pPr>
    <w:rPr>
      <w:rFonts w:cs="Times New Roman"/>
      <w:sz w:val="28"/>
      <w:szCs w:val="28"/>
    </w:rPr>
  </w:style>
  <w:style w:type="paragraph" w:styleId="26">
    <w:name w:val="toc 2"/>
    <w:basedOn w:val="1"/>
    <w:next w:val="1"/>
    <w:qFormat/>
    <w:uiPriority w:val="39"/>
    <w:pPr>
      <w:ind w:left="200" w:leftChars="200" w:firstLine="0" w:firstLineChars="0"/>
    </w:pPr>
    <w:rPr>
      <w:rFonts w:eastAsia="楷体_GB2312"/>
    </w:rPr>
  </w:style>
  <w:style w:type="paragraph" w:styleId="27">
    <w:name w:val="toc 9"/>
    <w:basedOn w:val="1"/>
    <w:next w:val="1"/>
    <w:unhideWhenUsed/>
    <w:qFormat/>
    <w:uiPriority w:val="39"/>
    <w:pPr>
      <w:widowControl/>
      <w:spacing w:line="240" w:lineRule="auto"/>
      <w:ind w:left="3360" w:leftChars="1600" w:firstLine="0" w:firstLineChars="0"/>
    </w:pPr>
    <w:rPr>
      <w:rFonts w:asciiTheme="minorHAnsi" w:hAnsiTheme="minorHAnsi" w:eastAsiaTheme="minorEastAsia"/>
      <w:sz w:val="21"/>
      <w:szCs w:val="22"/>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2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30">
    <w:name w:val="annotation subject"/>
    <w:basedOn w:val="10"/>
    <w:next w:val="10"/>
    <w:link w:val="48"/>
    <w:qFormat/>
    <w:uiPriority w:val="99"/>
    <w:rPr>
      <w:b/>
      <w:bCs/>
    </w:rPr>
  </w:style>
  <w:style w:type="table" w:styleId="32">
    <w:name w:val="Table Grid"/>
    <w:basedOn w:val="3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FollowedHyperlink"/>
    <w:basedOn w:val="33"/>
    <w:unhideWhenUsed/>
    <w:qFormat/>
    <w:uiPriority w:val="99"/>
    <w:rPr>
      <w:color w:val="7E1FAD" w:themeColor="followedHyperlink"/>
      <w:u w:val="single"/>
      <w14:textFill>
        <w14:solidFill>
          <w14:schemeClr w14:val="folHlink"/>
        </w14:solidFill>
      </w14:textFill>
    </w:rPr>
  </w:style>
  <w:style w:type="character" w:styleId="35">
    <w:name w:val="Hyperlink"/>
    <w:basedOn w:val="33"/>
    <w:unhideWhenUsed/>
    <w:qFormat/>
    <w:uiPriority w:val="99"/>
    <w:rPr>
      <w:color w:val="0026E5" w:themeColor="hyperlink"/>
      <w:u w:val="single"/>
      <w14:textFill>
        <w14:solidFill>
          <w14:schemeClr w14:val="hlink"/>
        </w14:solidFill>
      </w14:textFill>
    </w:rPr>
  </w:style>
  <w:style w:type="character" w:styleId="36">
    <w:name w:val="annotation reference"/>
    <w:basedOn w:val="33"/>
    <w:qFormat/>
    <w:uiPriority w:val="99"/>
    <w:rPr>
      <w:sz w:val="21"/>
      <w:szCs w:val="21"/>
    </w:rPr>
  </w:style>
  <w:style w:type="character" w:styleId="37">
    <w:name w:val="footnote reference"/>
    <w:basedOn w:val="33"/>
    <w:qFormat/>
    <w:uiPriority w:val="99"/>
    <w:rPr>
      <w:vertAlign w:val="superscript"/>
    </w:rPr>
  </w:style>
  <w:style w:type="paragraph" w:customStyle="1" w:styleId="38">
    <w:name w:val="列出段落1"/>
    <w:basedOn w:val="1"/>
    <w:qFormat/>
    <w:uiPriority w:val="0"/>
    <w:pPr>
      <w:ind w:firstLine="420"/>
    </w:pPr>
    <w:rPr>
      <w:rFonts w:ascii="Calibri" w:hAnsi="Calibri"/>
      <w:szCs w:val="22"/>
    </w:rPr>
  </w:style>
  <w:style w:type="paragraph" w:customStyle="1" w:styleId="39">
    <w:name w:val="正文首行缩进 21"/>
    <w:basedOn w:val="40"/>
    <w:qFormat/>
    <w:uiPriority w:val="0"/>
    <w:pPr>
      <w:ind w:firstLine="420"/>
    </w:pPr>
  </w:style>
  <w:style w:type="paragraph" w:customStyle="1" w:styleId="40">
    <w:name w:val="正文文本缩进1"/>
    <w:basedOn w:val="1"/>
    <w:qFormat/>
    <w:uiPriority w:val="0"/>
    <w:pPr>
      <w:spacing w:after="120"/>
      <w:ind w:left="420" w:leftChars="200"/>
    </w:pPr>
    <w:rPr>
      <w:rFonts w:eastAsia="宋体" w:cs="Times New Roman"/>
      <w:sz w:val="24"/>
    </w:rPr>
  </w:style>
  <w:style w:type="paragraph" w:customStyle="1" w:styleId="41">
    <w:name w:val="列出段落2"/>
    <w:basedOn w:val="1"/>
    <w:qFormat/>
    <w:uiPriority w:val="0"/>
    <w:pPr>
      <w:ind w:firstLine="420"/>
    </w:pPr>
    <w:rPr>
      <w:rFonts w:ascii="Calibri" w:hAnsi="Calibri" w:eastAsia="宋体" w:cs="Times New Roman"/>
      <w:szCs w:val="22"/>
    </w:rPr>
  </w:style>
  <w:style w:type="character" w:customStyle="1" w:styleId="42">
    <w:name w:val="脚注文本 字符"/>
    <w:basedOn w:val="33"/>
    <w:link w:val="23"/>
    <w:qFormat/>
    <w:uiPriority w:val="99"/>
    <w:rPr>
      <w:rFonts w:asciiTheme="minorHAnsi" w:hAnsiTheme="minorHAnsi" w:eastAsiaTheme="minorEastAsia" w:cstheme="minorBidi"/>
      <w:kern w:val="2"/>
      <w:sz w:val="18"/>
      <w:szCs w:val="24"/>
    </w:rPr>
  </w:style>
  <w:style w:type="character" w:customStyle="1" w:styleId="43">
    <w:name w:val="批注框文本 字符"/>
    <w:basedOn w:val="33"/>
    <w:link w:val="18"/>
    <w:qFormat/>
    <w:uiPriority w:val="99"/>
    <w:rPr>
      <w:rFonts w:asciiTheme="minorHAnsi" w:hAnsiTheme="minorHAnsi" w:eastAsiaTheme="minorEastAsia" w:cstheme="minorBidi"/>
      <w:kern w:val="2"/>
      <w:sz w:val="18"/>
      <w:szCs w:val="18"/>
    </w:rPr>
  </w:style>
  <w:style w:type="paragraph" w:customStyle="1" w:styleId="44">
    <w:name w:val="正文首行缩进 22"/>
    <w:basedOn w:val="1"/>
    <w:link w:val="45"/>
    <w:qFormat/>
    <w:uiPriority w:val="0"/>
    <w:pPr>
      <w:spacing w:after="120"/>
      <w:ind w:left="420" w:leftChars="200" w:firstLine="420"/>
    </w:pPr>
    <w:rPr>
      <w:rFonts w:eastAsia="宋体" w:cs="Times New Roman"/>
      <w:sz w:val="24"/>
      <w:szCs w:val="21"/>
    </w:rPr>
  </w:style>
  <w:style w:type="character" w:customStyle="1" w:styleId="45">
    <w:name w:val="Body Text First Indent 2 Char"/>
    <w:basedOn w:val="33"/>
    <w:link w:val="44"/>
    <w:qFormat/>
    <w:uiPriority w:val="0"/>
    <w:rPr>
      <w:kern w:val="2"/>
      <w:sz w:val="24"/>
      <w:szCs w:val="21"/>
    </w:rPr>
  </w:style>
  <w:style w:type="paragraph" w:customStyle="1" w:styleId="46">
    <w:name w:val="列出段落3"/>
    <w:basedOn w:val="1"/>
    <w:qFormat/>
    <w:uiPriority w:val="0"/>
    <w:pPr>
      <w:ind w:firstLine="420"/>
    </w:pPr>
    <w:rPr>
      <w:rFonts w:ascii="Calibri" w:hAnsi="Calibri" w:eastAsia="宋体" w:cs="Times New Roman"/>
      <w:szCs w:val="22"/>
    </w:rPr>
  </w:style>
  <w:style w:type="character" w:customStyle="1" w:styleId="47">
    <w:name w:val="批注文字 字符"/>
    <w:basedOn w:val="33"/>
    <w:link w:val="10"/>
    <w:qFormat/>
    <w:uiPriority w:val="99"/>
    <w:rPr>
      <w:rFonts w:asciiTheme="minorHAnsi" w:hAnsiTheme="minorHAnsi" w:eastAsiaTheme="minorEastAsia" w:cstheme="minorBidi"/>
      <w:kern w:val="2"/>
      <w:sz w:val="21"/>
      <w:szCs w:val="24"/>
    </w:rPr>
  </w:style>
  <w:style w:type="character" w:customStyle="1" w:styleId="48">
    <w:name w:val="批注主题 字符"/>
    <w:basedOn w:val="47"/>
    <w:link w:val="30"/>
    <w:qFormat/>
    <w:uiPriority w:val="99"/>
    <w:rPr>
      <w:rFonts w:asciiTheme="minorHAnsi" w:hAnsiTheme="minorHAnsi" w:eastAsiaTheme="minorEastAsia" w:cstheme="minorBidi"/>
      <w:b/>
      <w:bCs/>
      <w:kern w:val="2"/>
      <w:sz w:val="21"/>
      <w:szCs w:val="24"/>
    </w:rPr>
  </w:style>
  <w:style w:type="character" w:customStyle="1" w:styleId="49">
    <w:name w:val="正文文本缩进 字符"/>
    <w:basedOn w:val="33"/>
    <w:link w:val="11"/>
    <w:qFormat/>
    <w:uiPriority w:val="0"/>
    <w:rPr>
      <w:rFonts w:ascii="Calibri" w:hAnsi="Calibri"/>
      <w:sz w:val="24"/>
      <w:szCs w:val="24"/>
    </w:rPr>
  </w:style>
  <w:style w:type="character" w:customStyle="1" w:styleId="50">
    <w:name w:val="正文文本首行缩进 2 字符"/>
    <w:basedOn w:val="49"/>
    <w:link w:val="12"/>
    <w:qFormat/>
    <w:uiPriority w:val="0"/>
    <w:rPr>
      <w:rFonts w:ascii="Calibri" w:hAnsi="Calibri"/>
      <w:sz w:val="24"/>
      <w:szCs w:val="24"/>
    </w:rPr>
  </w:style>
  <w:style w:type="character" w:customStyle="1" w:styleId="51">
    <w:name w:val="正文文本 字符"/>
    <w:basedOn w:val="33"/>
    <w:link w:val="2"/>
    <w:qFormat/>
    <w:uiPriority w:val="99"/>
    <w:rPr>
      <w:rFonts w:asciiTheme="minorHAnsi" w:hAnsiTheme="minorHAnsi" w:eastAsiaTheme="minorEastAsia" w:cstheme="minorBidi"/>
      <w:kern w:val="2"/>
      <w:sz w:val="21"/>
      <w:szCs w:val="24"/>
    </w:rPr>
  </w:style>
  <w:style w:type="paragraph" w:customStyle="1" w:styleId="52">
    <w:name w:val="列出段落4"/>
    <w:basedOn w:val="1"/>
    <w:qFormat/>
    <w:uiPriority w:val="0"/>
    <w:pPr>
      <w:ind w:firstLine="420"/>
    </w:pPr>
    <w:rPr>
      <w:rFonts w:ascii="Calibri" w:hAnsi="Calibri" w:eastAsia="宋体" w:cs="Times New Roman"/>
      <w:szCs w:val="22"/>
    </w:rPr>
  </w:style>
  <w:style w:type="character" w:customStyle="1" w:styleId="53">
    <w:name w:val="标题 1 字符"/>
    <w:basedOn w:val="33"/>
    <w:link w:val="4"/>
    <w:qFormat/>
    <w:uiPriority w:val="9"/>
    <w:rPr>
      <w:rFonts w:ascii="Times New Roman" w:hAnsi="Times New Roman" w:eastAsia="黑体" w:cstheme="minorBidi"/>
      <w:kern w:val="44"/>
      <w:sz w:val="32"/>
      <w:szCs w:val="24"/>
    </w:rPr>
  </w:style>
  <w:style w:type="paragraph" w:styleId="54">
    <w:name w:val="List Paragraph"/>
    <w:basedOn w:val="1"/>
    <w:unhideWhenUsed/>
    <w:qFormat/>
    <w:uiPriority w:val="34"/>
    <w:pPr>
      <w:ind w:firstLine="420"/>
    </w:pPr>
  </w:style>
  <w:style w:type="paragraph" w:customStyle="1" w:styleId="55">
    <w:name w:val="TOC 标题1"/>
    <w:basedOn w:val="4"/>
    <w:next w:val="1"/>
    <w:unhideWhenUsed/>
    <w:qFormat/>
    <w:uiPriority w:val="39"/>
    <w:pPr>
      <w:widowControl/>
      <w:spacing w:before="480" w:line="276" w:lineRule="auto"/>
      <w:jc w:val="left"/>
      <w:outlineLvl w:val="9"/>
    </w:pPr>
    <w:rPr>
      <w:rFonts w:asciiTheme="majorHAnsi" w:hAnsiTheme="majorHAnsi" w:eastAsiaTheme="majorEastAsia" w:cstheme="majorBidi"/>
      <w:bCs/>
      <w:color w:val="2E54A1" w:themeColor="accent1" w:themeShade="BF"/>
      <w:kern w:val="0"/>
      <w:sz w:val="28"/>
      <w:szCs w:val="28"/>
    </w:rPr>
  </w:style>
  <w:style w:type="character" w:customStyle="1" w:styleId="56">
    <w:name w:val="标题 3 字符"/>
    <w:basedOn w:val="33"/>
    <w:link w:val="6"/>
    <w:qFormat/>
    <w:uiPriority w:val="9"/>
    <w:rPr>
      <w:rFonts w:asciiTheme="minorHAnsi" w:hAnsiTheme="minorHAnsi" w:eastAsiaTheme="minorEastAsia" w:cstheme="minorBidi"/>
      <w:b/>
      <w:bCs/>
      <w:kern w:val="2"/>
      <w:sz w:val="32"/>
      <w:szCs w:val="32"/>
    </w:rPr>
  </w:style>
  <w:style w:type="character" w:customStyle="1" w:styleId="57">
    <w:name w:val="题注 字符"/>
    <w:link w:val="9"/>
    <w:qFormat/>
    <w:uiPriority w:val="99"/>
    <w:rPr>
      <w:rFonts w:eastAsia="黑体" w:asciiTheme="majorHAnsi" w:hAnsiTheme="majorHAnsi" w:cstheme="majorBidi"/>
      <w:kern w:val="2"/>
    </w:rPr>
  </w:style>
  <w:style w:type="paragraph" w:customStyle="1" w:styleId="58">
    <w:name w:val="修订1"/>
    <w:hidden/>
    <w:unhideWhenUsed/>
    <w:qFormat/>
    <w:uiPriority w:val="99"/>
    <w:rPr>
      <w:rFonts w:ascii="Times New Roman" w:hAnsi="Times New Roman" w:eastAsia="仿宋_GB2312" w:cstheme="minorBidi"/>
      <w:kern w:val="2"/>
      <w:sz w:val="32"/>
      <w:szCs w:val="24"/>
      <w:lang w:val="en-US" w:eastAsia="zh-CN" w:bidi="ar-SA"/>
    </w:rPr>
  </w:style>
  <w:style w:type="character" w:customStyle="1" w:styleId="59">
    <w:name w:val="页眉 字符"/>
    <w:basedOn w:val="33"/>
    <w:link w:val="20"/>
    <w:qFormat/>
    <w:uiPriority w:val="99"/>
    <w:rPr>
      <w:rFonts w:eastAsia="仿宋_GB2312" w:cstheme="minorBidi"/>
      <w:kern w:val="2"/>
      <w:sz w:val="18"/>
      <w:szCs w:val="24"/>
    </w:rPr>
  </w:style>
  <w:style w:type="character" w:customStyle="1" w:styleId="60">
    <w:name w:val="页脚 字符"/>
    <w:basedOn w:val="33"/>
    <w:link w:val="19"/>
    <w:qFormat/>
    <w:uiPriority w:val="99"/>
    <w:rPr>
      <w:rFonts w:eastAsia="仿宋_GB2312" w:cstheme="minorBidi"/>
      <w:kern w:val="2"/>
      <w:sz w:val="18"/>
      <w:szCs w:val="18"/>
    </w:rPr>
  </w:style>
  <w:style w:type="character" w:customStyle="1" w:styleId="61">
    <w:name w:val="fontstyle01"/>
    <w:basedOn w:val="33"/>
    <w:qFormat/>
    <w:uiPriority w:val="0"/>
    <w:rPr>
      <w:rFonts w:hint="eastAsia" w:ascii="仿宋" w:hAnsi="仿宋" w:eastAsia="仿宋"/>
      <w:color w:val="000000"/>
      <w:sz w:val="24"/>
      <w:szCs w:val="24"/>
    </w:rPr>
  </w:style>
  <w:style w:type="paragraph" w:customStyle="1" w:styleId="62">
    <w:name w:val="TOC 标题2"/>
    <w:basedOn w:val="4"/>
    <w:next w:val="1"/>
    <w:unhideWhenUsed/>
    <w:qFormat/>
    <w:uiPriority w:val="39"/>
    <w:pPr>
      <w:widowControl/>
      <w:spacing w:before="480" w:line="276" w:lineRule="auto"/>
      <w:ind w:firstLine="0" w:firstLineChars="0"/>
      <w:jc w:val="left"/>
      <w:outlineLvl w:val="9"/>
    </w:pPr>
    <w:rPr>
      <w:rFonts w:asciiTheme="majorHAnsi" w:hAnsiTheme="majorHAnsi" w:eastAsiaTheme="majorEastAsia" w:cstheme="majorBidi"/>
      <w:b/>
      <w:bCs/>
      <w:color w:val="2E54A1" w:themeColor="accent1" w:themeShade="BF"/>
      <w:kern w:val="0"/>
      <w:sz w:val="28"/>
      <w:szCs w:val="28"/>
    </w:rPr>
  </w:style>
  <w:style w:type="character" w:customStyle="1" w:styleId="63">
    <w:name w:val="标题 4 字符"/>
    <w:basedOn w:val="33"/>
    <w:link w:val="7"/>
    <w:qFormat/>
    <w:uiPriority w:val="9"/>
    <w:rPr>
      <w:rFonts w:asciiTheme="majorHAnsi" w:hAnsiTheme="majorHAnsi" w:eastAsiaTheme="majorEastAsia" w:cstheme="majorBidi"/>
      <w:b/>
      <w:bCs/>
      <w:kern w:val="2"/>
      <w:sz w:val="28"/>
      <w:szCs w:val="28"/>
    </w:rPr>
  </w:style>
  <w:style w:type="character" w:customStyle="1" w:styleId="64">
    <w:name w:val="日期 字符"/>
    <w:basedOn w:val="33"/>
    <w:link w:val="16"/>
    <w:qFormat/>
    <w:uiPriority w:val="99"/>
    <w:rPr>
      <w:rFonts w:eastAsia="仿宋_GB2312" w:cstheme="minorBidi"/>
      <w:kern w:val="2"/>
      <w:sz w:val="24"/>
      <w:szCs w:val="22"/>
    </w:rPr>
  </w:style>
  <w:style w:type="character" w:customStyle="1" w:styleId="65">
    <w:name w:val="正文文本缩进 2 字符"/>
    <w:basedOn w:val="33"/>
    <w:link w:val="17"/>
    <w:qFormat/>
    <w:uiPriority w:val="0"/>
    <w:rPr>
      <w:rFonts w:eastAsia="仿宋_GB2312" w:cstheme="minorBidi"/>
      <w:kern w:val="2"/>
      <w:sz w:val="24"/>
      <w:szCs w:val="22"/>
    </w:rPr>
  </w:style>
  <w:style w:type="character" w:customStyle="1" w:styleId="66">
    <w:name w:val="标题 1 字符1"/>
    <w:qFormat/>
    <w:uiPriority w:val="9"/>
    <w:rPr>
      <w:rFonts w:ascii="Times New Roman" w:hAnsi="Times New Roman" w:eastAsia="黑体" w:cs="Times New Roman"/>
      <w:b/>
      <w:kern w:val="2"/>
      <w:sz w:val="30"/>
      <w:szCs w:val="30"/>
      <w:lang w:val="zh-CN"/>
    </w:rPr>
  </w:style>
  <w:style w:type="character" w:customStyle="1" w:styleId="67">
    <w:name w:val="标题 2 字符"/>
    <w:basedOn w:val="33"/>
    <w:link w:val="5"/>
    <w:qFormat/>
    <w:uiPriority w:val="9"/>
    <w:rPr>
      <w:rFonts w:eastAsia="楷体_GB2312" w:cstheme="minorBidi"/>
      <w:b/>
      <w:kern w:val="2"/>
      <w:sz w:val="32"/>
      <w:szCs w:val="30"/>
    </w:rPr>
  </w:style>
  <w:style w:type="paragraph" w:customStyle="1" w:styleId="68">
    <w:name w:val="正文 A"/>
    <w:qFormat/>
    <w:uiPriority w:val="0"/>
    <w:pPr>
      <w:widowControl w:val="0"/>
      <w:pBdr>
        <w:top w:val="none" w:color="FFFFFF" w:sz="0" w:space="31"/>
        <w:left w:val="none" w:color="FFFFFF" w:sz="0" w:space="31"/>
        <w:bottom w:val="none" w:color="FFFFFF" w:sz="0" w:space="31"/>
        <w:right w:val="none" w:color="FFFFFF" w:sz="0" w:space="31"/>
      </w:pBdr>
      <w:ind w:firstLine="560"/>
      <w:jc w:val="both"/>
    </w:pPr>
    <w:rPr>
      <w:rFonts w:ascii="Times New Roman" w:hAnsi="Arial Unicode MS" w:eastAsia="Times New Roman" w:cs="Arial Unicode MS"/>
      <w:color w:val="000000"/>
      <w:kern w:val="2"/>
      <w:sz w:val="28"/>
      <w:szCs w:val="28"/>
      <w:u w:color="000000"/>
      <w:lang w:val="en-US" w:eastAsia="zh-CN" w:bidi="ar-SA"/>
    </w:rPr>
  </w:style>
  <w:style w:type="paragraph" w:styleId="69">
    <w:name w:val="No Spacing"/>
    <w:qFormat/>
    <w:uiPriority w:val="1"/>
    <w:pPr>
      <w:widowControl w:val="0"/>
      <w:ind w:firstLine="560" w:firstLineChars="200"/>
      <w:jc w:val="both"/>
    </w:pPr>
    <w:rPr>
      <w:rFonts w:ascii="仿宋_GB2312" w:hAnsi="Calibri" w:eastAsia="仿宋_GB2312" w:cs="Times New Roman"/>
      <w:kern w:val="2"/>
      <w:sz w:val="28"/>
      <w:szCs w:val="28"/>
      <w:lang w:val="en-US" w:eastAsia="zh-CN" w:bidi="ar-SA"/>
    </w:rPr>
  </w:style>
  <w:style w:type="paragraph" w:customStyle="1" w:styleId="70">
    <w:name w:val="标题 21"/>
    <w:basedOn w:val="1"/>
    <w:qFormat/>
    <w:uiPriority w:val="1"/>
    <w:pPr>
      <w:widowControl/>
      <w:ind w:left="667" w:hanging="525"/>
      <w:outlineLvl w:val="2"/>
    </w:pPr>
    <w:rPr>
      <w:sz w:val="28"/>
      <w:szCs w:val="30"/>
    </w:rPr>
  </w:style>
  <w:style w:type="character" w:customStyle="1" w:styleId="71">
    <w:name w:val="font31"/>
    <w:basedOn w:val="33"/>
    <w:qFormat/>
    <w:uiPriority w:val="0"/>
    <w:rPr>
      <w:rFonts w:hint="default" w:ascii="Times New Roman" w:hAnsi="Times New Roman" w:cs="Times New Roman"/>
      <w:color w:val="000000"/>
      <w:sz w:val="22"/>
      <w:szCs w:val="22"/>
      <w:u w:val="none"/>
    </w:rPr>
  </w:style>
  <w:style w:type="paragraph" w:customStyle="1" w:styleId="72">
    <w:name w:val="Table Paragraph"/>
    <w:basedOn w:val="1"/>
    <w:qFormat/>
    <w:uiPriority w:val="1"/>
    <w:pPr>
      <w:widowControl/>
      <w:ind w:firstLine="0" w:firstLineChars="0"/>
      <w:jc w:val="center"/>
    </w:pPr>
    <w:rPr>
      <w:rFonts w:asciiTheme="minorHAnsi" w:hAnsiTheme="minorHAnsi" w:eastAsiaTheme="minorEastAsia"/>
      <w:sz w:val="21"/>
      <w:szCs w:val="22"/>
    </w:rPr>
  </w:style>
  <w:style w:type="character" w:customStyle="1" w:styleId="73">
    <w:name w:val="font11"/>
    <w:basedOn w:val="33"/>
    <w:qFormat/>
    <w:uiPriority w:val="0"/>
    <w:rPr>
      <w:rFonts w:hint="default" w:ascii="Times New Roman" w:hAnsi="Times New Roman" w:cs="Times New Roman"/>
      <w:color w:val="000000"/>
      <w:sz w:val="24"/>
      <w:szCs w:val="24"/>
      <w:u w:val="none"/>
    </w:rPr>
  </w:style>
  <w:style w:type="character" w:customStyle="1" w:styleId="74">
    <w:name w:val="font41"/>
    <w:basedOn w:val="33"/>
    <w:qFormat/>
    <w:uiPriority w:val="0"/>
    <w:rPr>
      <w:rFonts w:hint="eastAsia" w:ascii="宋体" w:hAnsi="宋体" w:eastAsia="宋体" w:cs="宋体"/>
      <w:b/>
      <w:bCs/>
      <w:color w:val="000000"/>
      <w:sz w:val="28"/>
      <w:szCs w:val="28"/>
      <w:u w:val="none"/>
    </w:rPr>
  </w:style>
  <w:style w:type="paragraph" w:customStyle="1" w:styleId="75">
    <w:name w:val="TOC 标题21"/>
    <w:basedOn w:val="4"/>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color w:val="2E54A1" w:themeColor="accent1" w:themeShade="BF"/>
      <w:kern w:val="0"/>
      <w:szCs w:val="32"/>
    </w:rPr>
  </w:style>
  <w:style w:type="paragraph" w:customStyle="1" w:styleId="76">
    <w:name w:val="修订11"/>
    <w:hidden/>
    <w:semiHidden/>
    <w:qFormat/>
    <w:uiPriority w:val="99"/>
    <w:rPr>
      <w:rFonts w:ascii="Times New Roman" w:hAnsi="Times New Roman" w:eastAsia="仿宋_GB2312" w:cs="Times New Roman"/>
      <w:kern w:val="2"/>
      <w:sz w:val="28"/>
      <w:szCs w:val="28"/>
      <w:lang w:val="en-US" w:eastAsia="zh-CN" w:bidi="ar-SA"/>
    </w:rPr>
  </w:style>
  <w:style w:type="character" w:customStyle="1" w:styleId="77">
    <w:name w:val="fontstyle21"/>
    <w:basedOn w:val="33"/>
    <w:qFormat/>
    <w:uiPriority w:val="0"/>
    <w:rPr>
      <w:rFonts w:hint="eastAsia" w:ascii="宋体" w:hAnsi="宋体" w:eastAsia="宋体"/>
      <w:color w:val="000000"/>
      <w:sz w:val="22"/>
      <w:szCs w:val="22"/>
    </w:rPr>
  </w:style>
  <w:style w:type="character" w:customStyle="1" w:styleId="78">
    <w:name w:val="fontstyle31"/>
    <w:basedOn w:val="33"/>
    <w:qFormat/>
    <w:uiPriority w:val="0"/>
    <w:rPr>
      <w:rFonts w:hint="default" w:ascii="Wingdings-Regular" w:hAnsi="Wingdings-Regular"/>
      <w:color w:val="000000"/>
      <w:sz w:val="22"/>
      <w:szCs w:val="22"/>
    </w:rPr>
  </w:style>
  <w:style w:type="character" w:customStyle="1" w:styleId="79">
    <w:name w:val="fontstyle11"/>
    <w:basedOn w:val="33"/>
    <w:qFormat/>
    <w:uiPriority w:val="0"/>
    <w:rPr>
      <w:rFonts w:hint="default" w:ascii="TimesNewRomanPSMT" w:hAnsi="TimesNewRomanPSMT"/>
      <w:color w:val="000000"/>
      <w:sz w:val="24"/>
      <w:szCs w:val="24"/>
    </w:rPr>
  </w:style>
  <w:style w:type="character" w:customStyle="1" w:styleId="80">
    <w:name w:val="未处理的提及1"/>
    <w:basedOn w:val="33"/>
    <w:semiHidden/>
    <w:unhideWhenUsed/>
    <w:qFormat/>
    <w:uiPriority w:val="99"/>
    <w:rPr>
      <w:color w:val="605E5C"/>
      <w:shd w:val="clear" w:color="auto" w:fill="E1DFDD"/>
    </w:rPr>
  </w:style>
  <w:style w:type="character" w:customStyle="1" w:styleId="81">
    <w:name w:val="日期 Char1"/>
    <w:basedOn w:val="33"/>
    <w:semiHidden/>
    <w:qFormat/>
    <w:uiPriority w:val="99"/>
    <w:rPr>
      <w:rFonts w:ascii="Times New Roman" w:hAnsi="Times New Roman" w:eastAsia="仿宋_GB2312" w:cs="Times New Roman"/>
      <w:sz w:val="28"/>
      <w:szCs w:val="28"/>
    </w:rPr>
  </w:style>
  <w:style w:type="character" w:styleId="82">
    <w:name w:val="Placeholder Text"/>
    <w:basedOn w:val="33"/>
    <w:semiHidden/>
    <w:qFormat/>
    <w:uiPriority w:val="99"/>
    <w:rPr>
      <w:color w:val="808080"/>
    </w:rPr>
  </w:style>
  <w:style w:type="character" w:customStyle="1" w:styleId="83">
    <w:name w:val="未处理的提及2"/>
    <w:basedOn w:val="33"/>
    <w:semiHidden/>
    <w:unhideWhenUsed/>
    <w:qFormat/>
    <w:uiPriority w:val="99"/>
    <w:rPr>
      <w:color w:val="605E5C"/>
      <w:shd w:val="clear" w:color="auto" w:fill="E1DFDD"/>
    </w:rPr>
  </w:style>
  <w:style w:type="table" w:customStyle="1" w:styleId="84">
    <w:name w:val="网格型1"/>
    <w:basedOn w:val="31"/>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2"/>
    <w:basedOn w:val="31"/>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
    <w:name w:val="修订2"/>
    <w:hidden/>
    <w:semiHidden/>
    <w:qFormat/>
    <w:uiPriority w:val="99"/>
    <w:rPr>
      <w:rFonts w:ascii="Times New Roman" w:hAnsi="Times New Roman" w:eastAsia="仿宋_GB2312" w:cs="Times New Roman"/>
      <w:kern w:val="2"/>
      <w:sz w:val="28"/>
      <w:szCs w:val="28"/>
      <w:lang w:val="en-US" w:eastAsia="zh-CN" w:bidi="ar-SA"/>
    </w:rPr>
  </w:style>
  <w:style w:type="paragraph" w:customStyle="1" w:styleId="87">
    <w:name w:val="样式1"/>
    <w:basedOn w:val="1"/>
    <w:link w:val="88"/>
    <w:qFormat/>
    <w:uiPriority w:val="0"/>
    <w:pPr>
      <w:widowControl/>
      <w:ind w:firstLine="560"/>
    </w:pPr>
    <w:rPr>
      <w:rFonts w:cs="Times New Roman"/>
      <w:sz w:val="28"/>
      <w:szCs w:val="28"/>
    </w:rPr>
  </w:style>
  <w:style w:type="character" w:customStyle="1" w:styleId="88">
    <w:name w:val="样式1 字符"/>
    <w:basedOn w:val="33"/>
    <w:link w:val="87"/>
    <w:qFormat/>
    <w:uiPriority w:val="0"/>
    <w:rPr>
      <w:rFonts w:eastAsia="仿宋_GB2312"/>
      <w:kern w:val="2"/>
      <w:sz w:val="28"/>
      <w:szCs w:val="28"/>
    </w:rPr>
  </w:style>
  <w:style w:type="paragraph" w:customStyle="1" w:styleId="89">
    <w:name w:val="样式2"/>
    <w:basedOn w:val="1"/>
    <w:link w:val="90"/>
    <w:qFormat/>
    <w:uiPriority w:val="0"/>
    <w:pPr>
      <w:widowControl/>
      <w:ind w:firstLine="560"/>
    </w:pPr>
    <w:rPr>
      <w:rFonts w:cs="Times New Roman"/>
      <w:sz w:val="28"/>
      <w:szCs w:val="28"/>
    </w:rPr>
  </w:style>
  <w:style w:type="character" w:customStyle="1" w:styleId="90">
    <w:name w:val="样式2 字符"/>
    <w:basedOn w:val="33"/>
    <w:link w:val="89"/>
    <w:qFormat/>
    <w:uiPriority w:val="0"/>
    <w:rPr>
      <w:rFonts w:eastAsia="仿宋_GB2312"/>
      <w:kern w:val="2"/>
      <w:sz w:val="28"/>
      <w:szCs w:val="28"/>
    </w:rPr>
  </w:style>
  <w:style w:type="paragraph" w:customStyle="1" w:styleId="91">
    <w:name w:val="修订3"/>
    <w:hidden/>
    <w:unhideWhenUsed/>
    <w:qFormat/>
    <w:uiPriority w:val="99"/>
    <w:rPr>
      <w:rFonts w:ascii="Times New Roman" w:hAnsi="Times New Roman" w:eastAsia="仿宋_GB2312" w:cs="Times New Roman"/>
      <w:kern w:val="2"/>
      <w:sz w:val="28"/>
      <w:szCs w:val="28"/>
      <w:lang w:val="en-US" w:eastAsia="zh-CN" w:bidi="ar-SA"/>
    </w:rPr>
  </w:style>
  <w:style w:type="paragraph" w:customStyle="1" w:styleId="92">
    <w:name w:val="修订4"/>
    <w:hidden/>
    <w:unhideWhenUsed/>
    <w:qFormat/>
    <w:uiPriority w:val="99"/>
    <w:rPr>
      <w:rFonts w:ascii="Times New Roman" w:hAnsi="Times New Roman" w:eastAsia="仿宋_GB2312" w:cstheme="minorBidi"/>
      <w:kern w:val="2"/>
      <w:sz w:val="32"/>
      <w:szCs w:val="24"/>
      <w:lang w:val="en-US" w:eastAsia="zh-CN" w:bidi="ar-SA"/>
    </w:rPr>
  </w:style>
  <w:style w:type="paragraph" w:customStyle="1" w:styleId="93">
    <w:name w:val="Revision"/>
    <w:hidden/>
    <w:unhideWhenUsed/>
    <w:qFormat/>
    <w:uiPriority w:val="99"/>
    <w:rPr>
      <w:rFonts w:ascii="Times New Roman" w:hAnsi="Times New Roman" w:eastAsia="仿宋_GB2312"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61</Pages>
  <Words>3662</Words>
  <Characters>3750</Characters>
  <Lines>258</Lines>
  <Paragraphs>72</Paragraphs>
  <TotalTime>11</TotalTime>
  <ScaleCrop>false</ScaleCrop>
  <LinksUpToDate>false</LinksUpToDate>
  <CharactersWithSpaces>3966</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2024-10-09T16:24:00Z</dcterms:created>
  <dc:creator>Administrator</dc:creator>
  <cp:lastModifiedBy>greatwall</cp:lastModifiedBy>
  <cp:lastPrinted>2025-01-20T11:46:00Z</cp:lastPrinted>
  <dcterms:modified xsi:type="dcterms:W3CDTF">2025-01-22T09:45:21Z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6256E9E2C1524E30932CBBFDBC9895F7_13</vt:lpwstr>
  </property>
  <property fmtid="{D5CDD505-2E9C-101B-9397-08002B2CF9AE}" pid="4" name="KSOTemplateDocerSaveRecord">
    <vt:lpwstr>eyJoZGlkIjoiYzQ4ZjE0ZjVmNWY4NmQ4MWFhMjhkZjEzYjUwNDM5ZTUiLCJ1c2VySWQiOiIxNjE2NjkwNzg2In0=</vt:lpwstr>
  </property>
</Properties>
</file>